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Брянской области от 31.07.2023 N 349-п</w:t>
              <w:br/>
              <w:t xml:space="preserve">(ред. от 24.08.2026)</w:t>
              <w:br/>
              <w:t xml:space="preserve">"Об утверждении Положения о региональном государственном контроле (надзоре) в области технического состояния и эксплуатации аттракционов"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БРЯНСКОЙ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31 июля 2023 г. N 349-п</w:t>
      </w:r>
    </w:p>
    <w:p>
      <w:pPr>
        <w:pStyle w:val="2"/>
        <w:jc w:val="center"/>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КОНТРОЛЕ (НАДЗОРЕ) В ОБЛАСТИ ТЕХНИЧЕСКОГО СОСТОЯНИЯ</w:t>
      </w:r>
    </w:p>
    <w:p>
      <w:pPr>
        <w:pStyle w:val="2"/>
        <w:jc w:val="center"/>
      </w:pPr>
      <w:r>
        <w:rPr>
          <w:sz w:val="24"/>
        </w:rPr>
        <w:t xml:space="preserve">И ЭКСПЛУАТАЦИИ АТТРАКЦИОНОВ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Брянской области от 09.10.2023 </w:t>
            </w:r>
            <w:hyperlink w:history="0" r:id="rId8" w:tooltip="Постановление Правительства Брянской области от 09.10.2023 N 480-п &quot;О внесении изменений в Положение о региональном государственном контроле (надзоре) в области технического состояния и эксплуатации аттракционов&quot; {КонсультантПлюс}">
              <w:r>
                <w:rPr>
                  <w:sz w:val="24"/>
                  <w:color w:val="0000ff"/>
                </w:rPr>
                <w:t xml:space="preserve">N 480-п</w:t>
              </w:r>
            </w:hyperlink>
            <w:r>
              <w:rPr>
                <w:sz w:val="24"/>
                <w:color w:val="392c69"/>
              </w:rPr>
              <w:t xml:space="preserve">,</w:t>
            </w:r>
          </w:p>
          <w:p>
            <w:pPr>
              <w:pStyle w:val="0"/>
              <w:jc w:val="center"/>
            </w:pPr>
            <w:r>
              <w:rPr>
                <w:sz w:val="24"/>
                <w:color w:val="392c69"/>
              </w:rPr>
              <w:t xml:space="preserve">от 21.07.2025 </w:t>
            </w:r>
            <w:hyperlink w:history="0" r:id="rId9" w:tooltip="Постановление Правительства Брянской области от 21.07.2025 N 384-п &quot;О внесении изменений в Положение о региональном государственном контроле (надзоре) в области технического состояния и эксплуатации аттракционов&quot; {КонсультантПлюс}">
              <w:r>
                <w:rPr>
                  <w:sz w:val="24"/>
                  <w:color w:val="0000ff"/>
                </w:rPr>
                <w:t xml:space="preserve">N 384-п</w:t>
              </w:r>
            </w:hyperlink>
            <w:r>
              <w:rPr>
                <w:sz w:val="24"/>
                <w:color w:val="392c69"/>
              </w:rPr>
              <w:t xml:space="preserve">, от 24.08.2026 </w:t>
            </w:r>
            <w:hyperlink w:history="0" r:id="rId10" w:tooltip="Постановление Правительства Брянской области от 24.08.2026 N 410-п &quot;О внесении изменений в Положение о региональном государственном контроле (надзоре) в области технического состояния и эксплуатации аттракционов&quot; {КонсультантПлюс}">
              <w:r>
                <w:rPr>
                  <w:sz w:val="24"/>
                  <w:color w:val="0000ff"/>
                </w:rPr>
                <w:t xml:space="preserve">N 410-п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3 части 2 статьи 3</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w:t>
      </w:r>
      <w:hyperlink w:history="0" r:id="rId12" w:tooltip="Закон Брянской области от 02.03.2023 N 17-З &quot;О региональном государственном контроле (надзоре) в области технического состояния и эксплуатации аттракционов на территории Брянской области&quot; (принят Брянской областной Думой 28.02.2023) {КонсультантПлюс}">
        <w:r>
          <w:rPr>
            <w:sz w:val="24"/>
            <w:color w:val="0000ff"/>
          </w:rPr>
          <w:t xml:space="preserve">Законом</w:t>
        </w:r>
      </w:hyperlink>
      <w:r>
        <w:rPr>
          <w:sz w:val="24"/>
        </w:rPr>
        <w:t xml:space="preserve"> Брянской области от 2 марта 2023 года N 17-З "О региональном государственном контроле (надзоре) в области технического состояния и эксплуатации аттракционов на территории Брянской области" Правительство Брянской области постановляет:</w:t>
      </w:r>
    </w:p>
    <w:p>
      <w:pPr>
        <w:pStyle w:val="0"/>
        <w:jc w:val="both"/>
      </w:pPr>
      <w:r>
        <w:rPr>
          <w:sz w:val="24"/>
        </w:rPr>
      </w:r>
    </w:p>
    <w:p>
      <w:pPr>
        <w:pStyle w:val="0"/>
        <w:ind w:firstLine="540"/>
        <w:jc w:val="both"/>
      </w:pPr>
      <w:r>
        <w:rPr>
          <w:sz w:val="24"/>
        </w:rPr>
        <w:t xml:space="preserve">1. Утвердить прилагаемое </w:t>
      </w:r>
      <w:hyperlink w:history="0" w:anchor="P33" w:tooltip="ПОЛОЖЕНИЕ">
        <w:r>
          <w:rPr>
            <w:sz w:val="24"/>
            <w:color w:val="0000ff"/>
          </w:rPr>
          <w:t xml:space="preserve">Положение</w:t>
        </w:r>
      </w:hyperlink>
      <w:r>
        <w:rPr>
          <w:sz w:val="24"/>
        </w:rPr>
        <w:t xml:space="preserve"> о региональном государственном контроле (надзоре) в области технического состояния и эксплуатации аттракционов.</w:t>
      </w:r>
    </w:p>
    <w:p>
      <w:pPr>
        <w:pStyle w:val="0"/>
        <w:jc w:val="both"/>
      </w:pPr>
      <w:r>
        <w:rPr>
          <w:sz w:val="24"/>
        </w:rPr>
      </w:r>
    </w:p>
    <w:p>
      <w:pPr>
        <w:pStyle w:val="0"/>
        <w:ind w:firstLine="540"/>
        <w:jc w:val="both"/>
      </w:pPr>
      <w:r>
        <w:rPr>
          <w:sz w:val="24"/>
        </w:rPr>
        <w:t xml:space="preserve">2. Постановление вступает в силу со дня официального опубликования.</w:t>
      </w:r>
    </w:p>
    <w:p>
      <w:pPr>
        <w:pStyle w:val="0"/>
        <w:jc w:val="both"/>
      </w:pPr>
      <w:r>
        <w:rPr>
          <w:sz w:val="24"/>
        </w:rPr>
      </w:r>
    </w:p>
    <w:p>
      <w:pPr>
        <w:pStyle w:val="0"/>
        <w:ind w:firstLine="540"/>
        <w:jc w:val="both"/>
      </w:pPr>
      <w:r>
        <w:rPr>
          <w:sz w:val="24"/>
        </w:rPr>
        <w:t xml:space="preserve">3. Контроль за исполнением настоящего постановления возложить на заместителя Губернатора Брянской области Грибанова Б.И.</w:t>
      </w:r>
    </w:p>
    <w:p>
      <w:pPr>
        <w:pStyle w:val="0"/>
        <w:jc w:val="both"/>
      </w:pPr>
      <w:r>
        <w:rPr>
          <w:sz w:val="24"/>
        </w:rPr>
      </w:r>
    </w:p>
    <w:p>
      <w:pPr>
        <w:pStyle w:val="0"/>
        <w:jc w:val="right"/>
      </w:pPr>
      <w:r>
        <w:rPr>
          <w:sz w:val="24"/>
        </w:rPr>
        <w:t xml:space="preserve">Исполняющий обязанности Губернатора</w:t>
      </w:r>
    </w:p>
    <w:p>
      <w:pPr>
        <w:pStyle w:val="0"/>
        <w:jc w:val="right"/>
      </w:pPr>
      <w:r>
        <w:rPr>
          <w:sz w:val="24"/>
        </w:rPr>
        <w:t xml:space="preserve">Ю.В.ФИЛИПЕНКО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Правительства Брянской области</w:t>
      </w:r>
    </w:p>
    <w:p>
      <w:pPr>
        <w:pStyle w:val="0"/>
        <w:jc w:val="right"/>
      </w:pPr>
      <w:r>
        <w:rPr>
          <w:sz w:val="24"/>
        </w:rPr>
        <w:t xml:space="preserve">от 31 июля 2023 г. N 349-п</w:t>
      </w:r>
    </w:p>
    <w:p>
      <w:pPr>
        <w:pStyle w:val="0"/>
        <w:jc w:val="both"/>
      </w:pPr>
      <w:r>
        <w:rPr>
          <w:sz w:val="24"/>
        </w:rPr>
      </w:r>
    </w:p>
    <w:bookmarkStart w:id="33" w:name="P33"/>
    <w:bookmarkEnd w:id="33"/>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w:t>
      </w:r>
    </w:p>
    <w:p>
      <w:pPr>
        <w:pStyle w:val="2"/>
        <w:jc w:val="center"/>
      </w:pPr>
      <w:r>
        <w:rPr>
          <w:sz w:val="24"/>
        </w:rPr>
        <w:t xml:space="preserve">В ОБЛАСТИ ТЕХНИЧЕСКОГО СОСТОЯНИЯ И ЭКСПЛУАТАЦИИ АТТРАКЦИОНОВ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 w:tooltip="Постановление Правительства Брянской области от 24.08.2026 N 410-п &quot;О внесении изменений в Положение о региональном государственном контроле (надзоре) в области технического состояния и эксплуатации аттракционов&quot; {КонсультантПлюс}">
              <w:r>
                <w:rPr>
                  <w:sz w:val="24"/>
                  <w:color w:val="0000ff"/>
                </w:rPr>
                <w:t xml:space="preserve">Постановления</w:t>
              </w:r>
            </w:hyperlink>
            <w:r>
              <w:rPr>
                <w:sz w:val="24"/>
                <w:color w:val="392c69"/>
              </w:rPr>
              <w:t xml:space="preserve"> Правительства Брянской области от 24.08.2026 N 410-п)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о региональном государственном контроле (надзоре) в области технического состояния и эксплуатации аттракционов (далее - Положение) устанавливает порядок организации и осуществления регионального государственного контроля (надзора) в области технического состояния и эксплуатации аттракционов (далее - региональный государственный контроль (надзор)) на территории Брянской области.</w:t>
      </w:r>
    </w:p>
    <w:p>
      <w:pPr>
        <w:pStyle w:val="0"/>
        <w:spacing w:before="240" w:lineRule="auto"/>
        <w:ind w:firstLine="540"/>
        <w:jc w:val="both"/>
      </w:pPr>
      <w:r>
        <w:rPr>
          <w:sz w:val="24"/>
        </w:rPr>
        <w:t xml:space="preserve">2. Региональный государственный контроль (надзор) осуществляется в отношении юридических лиц, их руководителей и иных должностных лиц, индивидуальных предпринимателей, их уполномоченных представителей (далее - контролируемые лица).</w:t>
      </w:r>
    </w:p>
    <w:p>
      <w:pPr>
        <w:pStyle w:val="0"/>
        <w:spacing w:before="240" w:lineRule="auto"/>
        <w:ind w:firstLine="540"/>
        <w:jc w:val="both"/>
      </w:pPr>
      <w:r>
        <w:rPr>
          <w:sz w:val="24"/>
        </w:rPr>
        <w:t xml:space="preserve">3. Региональный государственный контроль (надзор) осуществляется государственной инспекцией по надзору за техническим состоянием самоходных машин и других видов техники, аттракционов Брянской области (далее - контрольный (надзорный) орган).</w:t>
      </w:r>
    </w:p>
    <w:p>
      <w:pPr>
        <w:pStyle w:val="0"/>
        <w:spacing w:before="240" w:lineRule="auto"/>
        <w:ind w:firstLine="540"/>
        <w:jc w:val="both"/>
      </w:pPr>
      <w:r>
        <w:rPr>
          <w:sz w:val="24"/>
        </w:rPr>
        <w:t xml:space="preserve">4. Должностными лицами, уполномоченными на осуществление регионального государственного контроля (надзора), являются:</w:t>
      </w:r>
    </w:p>
    <w:p>
      <w:pPr>
        <w:pStyle w:val="0"/>
        <w:spacing w:before="240" w:lineRule="auto"/>
        <w:ind w:firstLine="540"/>
        <w:jc w:val="both"/>
      </w:pPr>
      <w:r>
        <w:rPr>
          <w:sz w:val="24"/>
        </w:rPr>
        <w:t xml:space="preserve">начальник контрольного (надзорного) органа;</w:t>
      </w:r>
    </w:p>
    <w:p>
      <w:pPr>
        <w:pStyle w:val="0"/>
        <w:spacing w:before="240" w:lineRule="auto"/>
        <w:ind w:firstLine="540"/>
        <w:jc w:val="both"/>
      </w:pPr>
      <w:r>
        <w:rPr>
          <w:sz w:val="24"/>
        </w:rPr>
        <w:t xml:space="preserve">заместитель начальника контрольного (надзорного) органа;</w:t>
      </w:r>
    </w:p>
    <w:p>
      <w:pPr>
        <w:pStyle w:val="0"/>
        <w:spacing w:before="240" w:lineRule="auto"/>
        <w:ind w:firstLine="540"/>
        <w:jc w:val="both"/>
      </w:pPr>
      <w:r>
        <w:rPr>
          <w:sz w:val="24"/>
        </w:rPr>
        <w:t xml:space="preserve">должностные лица контрольного (надзорного) органа, должностным регламентом которых установлена обязанность по осуществлению регионального государственного контроля (надзора), в том числе проведение профилактических мероприятий и контрольных (надзорных) мероприятий (далее - должностное лицо контрольного (надзорного) органа).</w:t>
      </w:r>
    </w:p>
    <w:p>
      <w:pPr>
        <w:pStyle w:val="0"/>
        <w:spacing w:before="240" w:lineRule="auto"/>
        <w:ind w:firstLine="540"/>
        <w:jc w:val="both"/>
      </w:pPr>
      <w:r>
        <w:rPr>
          <w:sz w:val="24"/>
        </w:rPr>
        <w:t xml:space="preserve">5. Должностными лицами, уполномоченными на принятие решений о проведении контрольных (надзорных) мероприятий, являются:</w:t>
      </w:r>
    </w:p>
    <w:p>
      <w:pPr>
        <w:pStyle w:val="0"/>
        <w:spacing w:before="240" w:lineRule="auto"/>
        <w:ind w:firstLine="540"/>
        <w:jc w:val="both"/>
      </w:pPr>
      <w:r>
        <w:rPr>
          <w:sz w:val="24"/>
        </w:rPr>
        <w:t xml:space="preserve">начальник контрольного (надзорного) органа;</w:t>
      </w:r>
    </w:p>
    <w:p>
      <w:pPr>
        <w:pStyle w:val="0"/>
        <w:spacing w:before="240" w:lineRule="auto"/>
        <w:ind w:firstLine="540"/>
        <w:jc w:val="both"/>
      </w:pPr>
      <w:r>
        <w:rPr>
          <w:sz w:val="24"/>
        </w:rPr>
        <w:t xml:space="preserve">заместитель начальника контрольного (надзорного) органа.</w:t>
      </w:r>
    </w:p>
    <w:p>
      <w:pPr>
        <w:pStyle w:val="0"/>
        <w:spacing w:before="240" w:lineRule="auto"/>
        <w:ind w:firstLine="540"/>
        <w:jc w:val="both"/>
      </w:pPr>
      <w:r>
        <w:rPr>
          <w:sz w:val="24"/>
        </w:rPr>
        <w:t xml:space="preserve">6.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spacing w:before="240" w:lineRule="auto"/>
        <w:ind w:firstLine="540"/>
        <w:jc w:val="both"/>
      </w:pPr>
      <w:r>
        <w:rPr>
          <w:sz w:val="24"/>
        </w:rPr>
        <w:t xml:space="preserve">7. Должностные лица контрольного (надзорного) органа, осуществляющие региональный государственный контроль (надзор), при проведении контрольных (надзорных) мероприятий в пределах своих полномочий и в объеме проведенных контрольных (надзорных) действий выполняют обязанности и пользуются правами, установленными </w:t>
      </w:r>
      <w:hyperlink w:history="0" r:id="rId1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29</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(далее - Федеральный закон от 31 июля 2020 года N 248-ФЗ).</w:t>
      </w:r>
    </w:p>
    <w:bookmarkStart w:id="53" w:name="P53"/>
    <w:bookmarkEnd w:id="53"/>
    <w:p>
      <w:pPr>
        <w:pStyle w:val="0"/>
        <w:spacing w:before="240" w:lineRule="auto"/>
        <w:ind w:firstLine="540"/>
        <w:jc w:val="both"/>
      </w:pPr>
      <w:r>
        <w:rPr>
          <w:sz w:val="24"/>
        </w:rPr>
        <w:t xml:space="preserve">8. К отношениям, связанным с осуществлением регионального государственного контроля (надзора), применяются положения Федерального закона от 31 июля 2020 года </w:t>
      </w:r>
      <w:hyperlink w:history="0" r:id="rId1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N 248-ФЗ</w:t>
        </w:r>
      </w:hyperlink>
      <w:r>
        <w:rPr>
          <w:sz w:val="24"/>
        </w:rPr>
        <w:t xml:space="preserve">, от 21 декабря 2021 года </w:t>
      </w:r>
      <w:hyperlink w:history="0" r:id="rId16"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N 414-ФЗ</w:t>
        </w:r>
      </w:hyperlink>
      <w:r>
        <w:rPr>
          <w:sz w:val="24"/>
        </w:rPr>
        <w:t xml:space="preserve"> "Об общих принципах организации публичной власти в субъектах Российской Федерации".</w:t>
      </w:r>
    </w:p>
    <w:p>
      <w:pPr>
        <w:pStyle w:val="0"/>
        <w:spacing w:before="240" w:lineRule="auto"/>
        <w:ind w:firstLine="540"/>
        <w:jc w:val="both"/>
      </w:pPr>
      <w:r>
        <w:rPr>
          <w:sz w:val="24"/>
        </w:rPr>
        <w:t xml:space="preserve">9. Предметом регионального государственного контроля (надзора) является оценка соблюдения контролируемыми лицами обязательных требований:</w:t>
      </w:r>
    </w:p>
    <w:p>
      <w:pPr>
        <w:pStyle w:val="0"/>
        <w:spacing w:before="240" w:lineRule="auto"/>
        <w:ind w:firstLine="540"/>
        <w:jc w:val="both"/>
      </w:pPr>
      <w:r>
        <w:rPr>
          <w:sz w:val="24"/>
        </w:rPr>
        <w:t xml:space="preserve">а) установленных Правительством Российской Федерации, - к техническому состоянию и эксплуатации аттракционов;</w:t>
      </w:r>
    </w:p>
    <w:p>
      <w:pPr>
        <w:pStyle w:val="0"/>
        <w:spacing w:before="240" w:lineRule="auto"/>
        <w:ind w:firstLine="540"/>
        <w:jc w:val="both"/>
      </w:pPr>
      <w:r>
        <w:rPr>
          <w:sz w:val="24"/>
        </w:rPr>
        <w:t xml:space="preserve">б) установленных техническим </w:t>
      </w:r>
      <w:hyperlink w:history="0" r:id="rId17" w:tooltip="Решение Совета Евразийской экономической комиссии от 18.10.2016 N 114 &quot;О техническом регламенте Евразийского экономического союза &quot;О безопасности аттракционов&quot; (вместе с &quot;ТР ЕАЭС 038/2016. Технический регламент Евразийского экономического союза. О безопасности аттракционов&quot;) {КонсультантПлюс}">
        <w:r>
          <w:rPr>
            <w:sz w:val="24"/>
            <w:color w:val="0000ff"/>
          </w:rPr>
          <w:t xml:space="preserve">регламентом</w:t>
        </w:r>
      </w:hyperlink>
      <w:r>
        <w:rPr>
          <w:sz w:val="24"/>
        </w:rPr>
        <w:t xml:space="preserve"> Евразийского экономического союза "О безопасности аттракционов", принятым решением Совета Евразийской экономической комиссии от 18 октября 2016 года N 114 "О техническом регламенте Евразийского экономического союза "О безопасности аттракционов", - к безопасности аттракционов.</w:t>
      </w:r>
    </w:p>
    <w:p>
      <w:pPr>
        <w:pStyle w:val="0"/>
        <w:spacing w:before="240" w:lineRule="auto"/>
        <w:ind w:firstLine="540"/>
        <w:jc w:val="both"/>
      </w:pPr>
      <w:r>
        <w:rPr>
          <w:sz w:val="24"/>
        </w:rPr>
        <w:t xml:space="preserve">10. Объектами регионального государственного контроля (надзора) (далее - объекты контроля) являются:</w:t>
      </w:r>
    </w:p>
    <w:p>
      <w:pPr>
        <w:pStyle w:val="0"/>
        <w:spacing w:before="240" w:lineRule="auto"/>
        <w:ind w:firstLine="540"/>
        <w:jc w:val="both"/>
      </w:pPr>
      <w:r>
        <w:rPr>
          <w:sz w:val="24"/>
        </w:rPr>
        <w:t xml:space="preserve">а) деятельность, действия (бездействие) контролируемых лиц, в рамках которых должны соблюдаться обязательные требования в области технического состояния и эксплуатации аттракционов;</w:t>
      </w:r>
    </w:p>
    <w:p>
      <w:pPr>
        <w:pStyle w:val="0"/>
        <w:spacing w:before="240" w:lineRule="auto"/>
        <w:ind w:firstLine="540"/>
        <w:jc w:val="both"/>
      </w:pPr>
      <w:r>
        <w:rPr>
          <w:sz w:val="24"/>
        </w:rPr>
        <w:t xml:space="preserve">б) аттракционы, к техническому состоянию которых предъявляются обязательные требования.</w:t>
      </w:r>
    </w:p>
    <w:p>
      <w:pPr>
        <w:pStyle w:val="0"/>
        <w:spacing w:before="240" w:lineRule="auto"/>
        <w:ind w:firstLine="540"/>
        <w:jc w:val="both"/>
      </w:pPr>
      <w:r>
        <w:rPr>
          <w:sz w:val="24"/>
        </w:rPr>
        <w:t xml:space="preserve">11. Контрольный (надзорный) орган осуществляет учет объектов контроля посредством сбора, обработки, анализа и учета информации об объектах регионального государственного контроля (надзора), представляемой контрольному (надзорному) органу федеральными органами власти, органами исполнительной власти субъектов Российской Федерации, исполнительно-распорядительными органами муниципальных образований Брянской области, информации, получаемой в рамках межведомственного взаимодействия, данных, содержащихся в ведомственной информационной системе Гостехнадзор Эксперт и в государственных и муниципальных информационных системах, а также общедоступной информации, в том числе размещенной в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4"/>
        </w:rPr>
      </w:r>
    </w:p>
    <w:p>
      <w:pPr>
        <w:pStyle w:val="2"/>
        <w:outlineLvl w:val="1"/>
        <w:jc w:val="center"/>
      </w:pPr>
      <w:r>
        <w:rPr>
          <w:sz w:val="24"/>
        </w:rPr>
        <w:t xml:space="preserve">II. Управление рисками причинения вреда (ущерба) охраняемым</w:t>
      </w:r>
    </w:p>
    <w:p>
      <w:pPr>
        <w:pStyle w:val="2"/>
        <w:jc w:val="center"/>
      </w:pPr>
      <w:r>
        <w:rPr>
          <w:sz w:val="24"/>
        </w:rPr>
        <w:t xml:space="preserve">законом ценностям при осуществлении регионального</w:t>
      </w:r>
    </w:p>
    <w:p>
      <w:pPr>
        <w:pStyle w:val="2"/>
        <w:jc w:val="center"/>
      </w:pPr>
      <w:r>
        <w:rPr>
          <w:sz w:val="24"/>
        </w:rPr>
        <w:t xml:space="preserve">государственного контроля (надзора)</w:t>
      </w:r>
    </w:p>
    <w:p>
      <w:pPr>
        <w:pStyle w:val="0"/>
        <w:jc w:val="both"/>
      </w:pPr>
      <w:r>
        <w:rPr>
          <w:sz w:val="24"/>
        </w:rPr>
      </w:r>
    </w:p>
    <w:p>
      <w:pPr>
        <w:pStyle w:val="0"/>
        <w:ind w:firstLine="540"/>
        <w:jc w:val="both"/>
      </w:pPr>
      <w:r>
        <w:rPr>
          <w:sz w:val="24"/>
        </w:rPr>
        <w:t xml:space="preserve">12. При осуществлении регионального государственного контроля (надзора) применяется система оценки и управления рисками причинения вреда (ущерба) охраняемым законом ценностям.</w:t>
      </w:r>
    </w:p>
    <w:p>
      <w:pPr>
        <w:pStyle w:val="0"/>
        <w:spacing w:before="240" w:lineRule="auto"/>
        <w:ind w:firstLine="540"/>
        <w:jc w:val="both"/>
      </w:pPr>
      <w:r>
        <w:rPr>
          <w:sz w:val="24"/>
        </w:rPr>
        <w:t xml:space="preserve">13. Контрольный (надзорный) орган при осуществлении регионального государственного контроля (надзора) относит объекты контроля к одной из следующих категорий риска причинения вреда (ущерба) охраняемым законом ценностям (далее - категории риска):</w:t>
      </w:r>
    </w:p>
    <w:p>
      <w:pPr>
        <w:pStyle w:val="0"/>
        <w:spacing w:before="240" w:lineRule="auto"/>
        <w:ind w:firstLine="540"/>
        <w:jc w:val="both"/>
      </w:pPr>
      <w:r>
        <w:rPr>
          <w:sz w:val="24"/>
        </w:rPr>
        <w:t xml:space="preserve">1) значительный риск;</w:t>
      </w:r>
    </w:p>
    <w:p>
      <w:pPr>
        <w:pStyle w:val="0"/>
        <w:spacing w:before="240" w:lineRule="auto"/>
        <w:ind w:firstLine="540"/>
        <w:jc w:val="both"/>
      </w:pPr>
      <w:r>
        <w:rPr>
          <w:sz w:val="24"/>
        </w:rPr>
        <w:t xml:space="preserve">2) средний риск;</w:t>
      </w:r>
    </w:p>
    <w:p>
      <w:pPr>
        <w:pStyle w:val="0"/>
        <w:spacing w:before="240" w:lineRule="auto"/>
        <w:ind w:firstLine="540"/>
        <w:jc w:val="both"/>
      </w:pPr>
      <w:r>
        <w:rPr>
          <w:sz w:val="24"/>
        </w:rPr>
        <w:t xml:space="preserve">3) умеренный риск;</w:t>
      </w:r>
    </w:p>
    <w:p>
      <w:pPr>
        <w:pStyle w:val="0"/>
        <w:spacing w:before="240" w:lineRule="auto"/>
        <w:ind w:firstLine="540"/>
        <w:jc w:val="both"/>
      </w:pPr>
      <w:r>
        <w:rPr>
          <w:sz w:val="24"/>
        </w:rPr>
        <w:t xml:space="preserve">4) низкий риск.</w:t>
      </w:r>
    </w:p>
    <w:p>
      <w:pPr>
        <w:pStyle w:val="0"/>
        <w:spacing w:before="240" w:lineRule="auto"/>
        <w:ind w:firstLine="540"/>
        <w:jc w:val="both"/>
      </w:pPr>
      <w:r>
        <w:rPr>
          <w:sz w:val="24"/>
        </w:rPr>
        <w:t xml:space="preserve">14. Отнесение объектов контроля к одной из категорий риска осуществляется контрольным (надзорным) органом на основании сопоставления их характеристик с </w:t>
      </w:r>
      <w:hyperlink w:history="0" w:anchor="P252" w:tooltip="Критерии отнесения объектов регионального контроля (надзора)">
        <w:r>
          <w:rPr>
            <w:sz w:val="24"/>
            <w:color w:val="0000ff"/>
          </w:rPr>
          <w:t xml:space="preserve">критериями</w:t>
        </w:r>
      </w:hyperlink>
      <w:r>
        <w:rPr>
          <w:sz w:val="24"/>
        </w:rPr>
        <w:t xml:space="preserve"> отнесения объектов контроля к определенной категории риска согласно приложению N 1 к настоящему Положению. 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p>
    <w:p>
      <w:pPr>
        <w:pStyle w:val="0"/>
        <w:spacing w:before="240" w:lineRule="auto"/>
        <w:ind w:firstLine="540"/>
        <w:jc w:val="both"/>
      </w:pPr>
      <w:r>
        <w:rPr>
          <w:sz w:val="24"/>
        </w:rPr>
        <w:t xml:space="preserve">15. Решение об отнесении объектов контроля к категориям риска и изменение присвоенных объектам контроля категорий риска принимается путем подписания соответствующих сведений в едином реестре видов контроля в порядке, определенном </w:t>
      </w:r>
      <w:hyperlink w:history="0" r:id="rId18"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Постановлением</w:t>
        </w:r>
      </w:hyperlink>
      <w:r>
        <w:rPr>
          <w:sz w:val="24"/>
        </w:rPr>
        <w:t xml:space="preserve"> Правительства Российской Федерации от 24 октября 2011 года N 861 года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pPr>
        <w:pStyle w:val="0"/>
        <w:spacing w:before="240" w:lineRule="auto"/>
        <w:ind w:firstLine="540"/>
        <w:jc w:val="both"/>
      </w:pPr>
      <w:r>
        <w:rPr>
          <w:sz w:val="24"/>
        </w:rPr>
        <w:t xml:space="preserve">16.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lineRule="auto"/>
        <w:ind w:firstLine="540"/>
        <w:jc w:val="both"/>
      </w:pPr>
      <w:r>
        <w:rPr>
          <w:sz w:val="24"/>
        </w:rPr>
        <w:t xml:space="preserve">17. Контрольный (надзорный) орган ведет перечень объектов контроля в реестре объектов контроля единого реестра видов контроля и размещает его на официальном сайте контрольного (надзорного) органа в информационно-телекоммуникационной сети "Интернет" (далее - официальный сайт).</w:t>
      </w:r>
    </w:p>
    <w:p>
      <w:pPr>
        <w:pStyle w:val="0"/>
        <w:spacing w:before="240" w:lineRule="auto"/>
        <w:ind w:firstLine="540"/>
        <w:jc w:val="both"/>
      </w:pPr>
      <w:r>
        <w:rPr>
          <w:sz w:val="24"/>
        </w:rPr>
        <w:t xml:space="preserve">18. Контролируемое лицо вправе подать,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bookmarkStart w:id="77" w:name="P77"/>
    <w:bookmarkEnd w:id="77"/>
    <w:p>
      <w:pPr>
        <w:pStyle w:val="0"/>
        <w:spacing w:before="240" w:lineRule="auto"/>
        <w:ind w:firstLine="540"/>
        <w:jc w:val="both"/>
      </w:pPr>
      <w:r>
        <w:rPr>
          <w:sz w:val="24"/>
        </w:rPr>
        <w:t xml:space="preserve">19. В отношении объектов регионального государственного контроля (надзора), отнесенных к категориям значительного, среднего или умеренного риска, обязательные профилактические визиты осуществляются с </w:t>
      </w:r>
      <w:hyperlink w:history="0" r:id="rId19" w:tooltip="Постановление Правительства РФ от 01.10.2025 N 1511 &quot;О периодичности проведения обязательных профилактических визитов в рамках государственного контроля (надзора), муниципального контроля&quot; {КонсультантПлюс}">
        <w:r>
          <w:rPr>
            <w:sz w:val="24"/>
            <w:color w:val="0000ff"/>
          </w:rPr>
          <w:t xml:space="preserve">периодичностью</w:t>
        </w:r>
      </w:hyperlink>
      <w:r>
        <w:rPr>
          <w:sz w:val="24"/>
        </w:rPr>
        <w:t xml:space="preserve">, установленной Постановлением Правительства Российской Федерации от 1 октября 2025 года N 1511 "О периодичности проведения обязательных профилактических визитов в рамках государственного контроля (надзора), муниципального контроля".</w:t>
      </w:r>
    </w:p>
    <w:p>
      <w:pPr>
        <w:pStyle w:val="0"/>
        <w:spacing w:before="240" w:lineRule="auto"/>
        <w:ind w:firstLine="540"/>
        <w:jc w:val="both"/>
      </w:pPr>
      <w:r>
        <w:rPr>
          <w:sz w:val="24"/>
        </w:rPr>
        <w:t xml:space="preserve">20. В отношении объектов регионального государственного контроля (надзора), отнесенных к категории низкого риска, обязательные профилактические визиты не проводятся.</w:t>
      </w:r>
    </w:p>
    <w:p>
      <w:pPr>
        <w:pStyle w:val="0"/>
        <w:spacing w:before="240" w:lineRule="auto"/>
        <w:ind w:firstLine="540"/>
        <w:jc w:val="both"/>
      </w:pPr>
      <w:r>
        <w:rPr>
          <w:sz w:val="24"/>
        </w:rPr>
        <w:t xml:space="preserve">21. В целях оценки риска причинения вреда (ущерба) охраняемым законом ценностям при принятии решения о проведении и выборе вида внепланового контрольного (надзорного) мероприятия контрольным (надзорным) органом применяются </w:t>
      </w:r>
      <w:hyperlink w:history="0" w:anchor="P334" w:tooltip="Индикаторы риска нарушения обязательных требований,">
        <w:r>
          <w:rPr>
            <w:sz w:val="24"/>
            <w:color w:val="0000ff"/>
          </w:rPr>
          <w:t xml:space="preserve">индикаторы</w:t>
        </w:r>
      </w:hyperlink>
      <w:r>
        <w:rPr>
          <w:sz w:val="24"/>
        </w:rPr>
        <w:t xml:space="preserve"> риска нарушения обязательных требований, используемые при осуществлении регионального государственного надзора в области технического состояния аттракционов, согласно приложению N 2 к настоящему Положению.</w:t>
      </w:r>
    </w:p>
    <w:p>
      <w:pPr>
        <w:pStyle w:val="0"/>
        <w:spacing w:before="240" w:lineRule="auto"/>
        <w:ind w:firstLine="540"/>
        <w:jc w:val="both"/>
      </w:pPr>
      <w:r>
        <w:rPr>
          <w:sz w:val="24"/>
        </w:rPr>
        <w:t xml:space="preserve">22. Выявление индикаторов риска нарушения обязательных требований осуществляется контрольным (надзорным) органом без взаимодействия с контролируемыми лицами.</w:t>
      </w:r>
    </w:p>
    <w:p>
      <w:pPr>
        <w:pStyle w:val="0"/>
        <w:spacing w:before="240" w:lineRule="auto"/>
        <w:ind w:firstLine="540"/>
        <w:jc w:val="both"/>
      </w:pPr>
      <w:r>
        <w:rPr>
          <w:sz w:val="24"/>
        </w:rPr>
        <w:t xml:space="preserve">23. При выявлении соответствия объекта контроля параметрам, утвержденным перечнем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r>
    </w:p>
    <w:p>
      <w:pPr>
        <w:pStyle w:val="2"/>
        <w:outlineLvl w:val="1"/>
        <w:jc w:val="center"/>
      </w:pPr>
      <w:r>
        <w:rPr>
          <w:sz w:val="24"/>
        </w:rPr>
        <w:t xml:space="preserve">III. Профилактика рисков причинения вреда (ущерба)</w:t>
      </w:r>
    </w:p>
    <w:p>
      <w:pPr>
        <w:pStyle w:val="2"/>
        <w:jc w:val="center"/>
      </w:pPr>
      <w:r>
        <w:rPr>
          <w:sz w:val="24"/>
        </w:rPr>
        <w:t xml:space="preserve">охраняемым законом ценностям</w:t>
      </w:r>
    </w:p>
    <w:p>
      <w:pPr>
        <w:pStyle w:val="0"/>
        <w:jc w:val="both"/>
      </w:pPr>
      <w:r>
        <w:rPr>
          <w:sz w:val="24"/>
        </w:rPr>
      </w:r>
    </w:p>
    <w:p>
      <w:pPr>
        <w:pStyle w:val="0"/>
        <w:ind w:firstLine="540"/>
        <w:jc w:val="both"/>
      </w:pPr>
      <w:r>
        <w:rPr>
          <w:sz w:val="24"/>
        </w:rPr>
        <w:t xml:space="preserve">24. Контрольный (надзорный) орган ежегодно в соответствии с Постановлением Правительства Российской Федерации от 25 июля 2021 года N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 состоящую из разделов, предусмотренных </w:t>
      </w:r>
      <w:hyperlink w:history="0" r:id="rId2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2 статьи 44</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25. Утвержденная программа профилактики размещается на официальном сайте в течение 5 дней со дня утверждения.</w:t>
      </w:r>
    </w:p>
    <w:p>
      <w:pPr>
        <w:pStyle w:val="0"/>
        <w:spacing w:before="240" w:lineRule="auto"/>
        <w:ind w:firstLine="540"/>
        <w:jc w:val="both"/>
      </w:pPr>
      <w:r>
        <w:rPr>
          <w:sz w:val="24"/>
        </w:rPr>
        <w:t xml:space="preserve">26. При осуществлении регионального государственного контроля (надзора) проводятся следующие виды профилактических мероприятий:</w:t>
      </w:r>
    </w:p>
    <w:p>
      <w:pPr>
        <w:pStyle w:val="0"/>
        <w:spacing w:before="240" w:lineRule="auto"/>
        <w:ind w:firstLine="540"/>
        <w:jc w:val="both"/>
      </w:pPr>
      <w:r>
        <w:rPr>
          <w:sz w:val="24"/>
        </w:rPr>
        <w:t xml:space="preserve">а) информирование;</w:t>
      </w:r>
    </w:p>
    <w:p>
      <w:pPr>
        <w:pStyle w:val="0"/>
        <w:spacing w:before="240" w:lineRule="auto"/>
        <w:ind w:firstLine="540"/>
        <w:jc w:val="both"/>
      </w:pPr>
      <w:r>
        <w:rPr>
          <w:sz w:val="24"/>
        </w:rPr>
        <w:t xml:space="preserve">б) обобщение правоприменительной практики;</w:t>
      </w:r>
    </w:p>
    <w:p>
      <w:pPr>
        <w:pStyle w:val="0"/>
        <w:spacing w:before="240" w:lineRule="auto"/>
        <w:ind w:firstLine="540"/>
        <w:jc w:val="both"/>
      </w:pPr>
      <w:r>
        <w:rPr>
          <w:sz w:val="24"/>
        </w:rPr>
        <w:t xml:space="preserve">в) объявление предостережений;</w:t>
      </w:r>
    </w:p>
    <w:p>
      <w:pPr>
        <w:pStyle w:val="0"/>
        <w:spacing w:before="240" w:lineRule="auto"/>
        <w:ind w:firstLine="540"/>
        <w:jc w:val="both"/>
      </w:pPr>
      <w:r>
        <w:rPr>
          <w:sz w:val="24"/>
        </w:rPr>
        <w:t xml:space="preserve">г) консультирование;</w:t>
      </w:r>
    </w:p>
    <w:p>
      <w:pPr>
        <w:pStyle w:val="0"/>
        <w:spacing w:before="240" w:lineRule="auto"/>
        <w:ind w:firstLine="540"/>
        <w:jc w:val="both"/>
      </w:pPr>
      <w:r>
        <w:rPr>
          <w:sz w:val="24"/>
        </w:rPr>
        <w:t xml:space="preserve">д) профилактический визит.</w:t>
      </w:r>
    </w:p>
    <w:p>
      <w:pPr>
        <w:pStyle w:val="0"/>
        <w:spacing w:before="240" w:lineRule="auto"/>
        <w:ind w:firstLine="540"/>
        <w:jc w:val="both"/>
      </w:pPr>
      <w:r>
        <w:rPr>
          <w:sz w:val="24"/>
        </w:rPr>
        <w:t xml:space="preserve">27. Информирование контролируемых лиц по вопросам соблюдения обязательных требований осуществляется должностными лицами контрольного (надзорного) органа посредством размещения и поддержания в актуальном состоянии сведений на официальном сайте, в средствах массовой информации и в иных формах в соответствии с положениями </w:t>
      </w:r>
      <w:hyperlink w:history="0" r:id="rId2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статьи 46</w:t>
        </w:r>
      </w:hyperlink>
      <w:r>
        <w:rPr>
          <w:sz w:val="24"/>
        </w:rPr>
        <w:t xml:space="preserve"> Федерального закона от 31 июля 2020 года N 248-ФЗ с учетом требований законодательства Российской Федерации о государственной, коммерческой, служебной и иной охраняемой законом тайне.</w:t>
      </w:r>
    </w:p>
    <w:p>
      <w:pPr>
        <w:pStyle w:val="0"/>
        <w:spacing w:before="240" w:lineRule="auto"/>
        <w:ind w:firstLine="540"/>
        <w:jc w:val="both"/>
      </w:pPr>
      <w:r>
        <w:rPr>
          <w:sz w:val="24"/>
        </w:rPr>
        <w:t xml:space="preserve">28. Обобщение правоприменительной практики осуществляется в соответствии со </w:t>
      </w:r>
      <w:hyperlink w:history="0" r:id="rId2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47</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29.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lineRule="auto"/>
        <w:ind w:firstLine="540"/>
        <w:jc w:val="both"/>
      </w:pPr>
      <w:r>
        <w:rPr>
          <w:sz w:val="24"/>
        </w:rPr>
        <w:t xml:space="preserve">30. Доклад о правоприменительной практике готовится ежегодно, не позднее 1 марта года, следующего за отчетным.</w:t>
      </w:r>
    </w:p>
    <w:p>
      <w:pPr>
        <w:pStyle w:val="0"/>
        <w:spacing w:before="240" w:lineRule="auto"/>
        <w:ind w:firstLine="540"/>
        <w:jc w:val="both"/>
      </w:pPr>
      <w:r>
        <w:rPr>
          <w:sz w:val="24"/>
        </w:rPr>
        <w:t xml:space="preserve">31. Доклад о правоприменительной практике утверждается приказом начальника контрольного (надзорного) органа до 10 марта года, следующего за отчетным, и размещается на официальном сайте в срок, не превышающий пять рабочих дней после его утверждения.</w:t>
      </w:r>
    </w:p>
    <w:p>
      <w:pPr>
        <w:pStyle w:val="0"/>
        <w:spacing w:before="240" w:lineRule="auto"/>
        <w:ind w:firstLine="540"/>
        <w:jc w:val="both"/>
      </w:pPr>
      <w:r>
        <w:rPr>
          <w:sz w:val="24"/>
        </w:rPr>
        <w:t xml:space="preserve">32. Объявление предостережения осуществляется в соответствии со </w:t>
      </w:r>
      <w:hyperlink w:history="0" r:id="rId2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49</w:t>
        </w:r>
      </w:hyperlink>
      <w:r>
        <w:rPr>
          <w:sz w:val="24"/>
        </w:rPr>
        <w:t xml:space="preserve"> Федерального закона от 31 июля 2020 года N 248-ФЗ. Предостережение о недопустимости нарушения обязательных требований объявляется контролируемому лицу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pPr>
        <w:pStyle w:val="0"/>
        <w:spacing w:before="240" w:lineRule="auto"/>
        <w:ind w:firstLine="540"/>
        <w:jc w:val="both"/>
      </w:pPr>
      <w:r>
        <w:rPr>
          <w:sz w:val="24"/>
        </w:rPr>
        <w:t xml:space="preserve">33.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срок не позднее 10 рабочих дней со дня получения им предостережения.</w:t>
      </w:r>
    </w:p>
    <w:p>
      <w:pPr>
        <w:pStyle w:val="0"/>
        <w:spacing w:before="240" w:lineRule="auto"/>
        <w:ind w:firstLine="540"/>
        <w:jc w:val="both"/>
      </w:pPr>
      <w:r>
        <w:rPr>
          <w:sz w:val="24"/>
        </w:rPr>
        <w:t xml:space="preserve">34. Возражение должно содержать:</w:t>
      </w:r>
    </w:p>
    <w:p>
      <w:pPr>
        <w:pStyle w:val="0"/>
        <w:spacing w:before="240" w:lineRule="auto"/>
        <w:ind w:firstLine="540"/>
        <w:jc w:val="both"/>
      </w:pPr>
      <w:r>
        <w:rPr>
          <w:sz w:val="24"/>
        </w:rPr>
        <w:t xml:space="preserve">1) наименование контрольного (надзорного) органа, в который направляется возражение;</w:t>
      </w:r>
    </w:p>
    <w:p>
      <w:pPr>
        <w:pStyle w:val="0"/>
        <w:spacing w:before="240" w:lineRule="auto"/>
        <w:ind w:firstLine="540"/>
        <w:jc w:val="both"/>
      </w:pPr>
      <w:r>
        <w:rPr>
          <w:sz w:val="24"/>
        </w:rPr>
        <w:t xml:space="preserve">2) наименование контролируемого лица, номер (номера) контактного телефона, адрес электронной почты, на который должен быть направлен ответ;</w:t>
      </w:r>
    </w:p>
    <w:p>
      <w:pPr>
        <w:pStyle w:val="0"/>
        <w:spacing w:before="240" w:lineRule="auto"/>
        <w:ind w:firstLine="540"/>
        <w:jc w:val="both"/>
      </w:pPr>
      <w:r>
        <w:rPr>
          <w:sz w:val="24"/>
        </w:rPr>
        <w:t xml:space="preserve">3) дату и номер предостережения;</w:t>
      </w:r>
    </w:p>
    <w:p>
      <w:pPr>
        <w:pStyle w:val="0"/>
        <w:spacing w:before="240" w:lineRule="auto"/>
        <w:ind w:firstLine="540"/>
        <w:jc w:val="both"/>
      </w:pPr>
      <w:r>
        <w:rPr>
          <w:sz w:val="24"/>
        </w:rPr>
        <w:t xml:space="preserve">4) идентификационный номер налогоплательщика;</w:t>
      </w:r>
    </w:p>
    <w:p>
      <w:pPr>
        <w:pStyle w:val="0"/>
        <w:spacing w:before="240" w:lineRule="auto"/>
        <w:ind w:firstLine="540"/>
        <w:jc w:val="both"/>
      </w:pPr>
      <w:r>
        <w:rPr>
          <w:sz w:val="24"/>
        </w:rPr>
        <w:t xml:space="preserve">5)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pPr>
        <w:pStyle w:val="0"/>
        <w:spacing w:before="240" w:lineRule="auto"/>
        <w:ind w:firstLine="540"/>
        <w:jc w:val="both"/>
      </w:pPr>
      <w:r>
        <w:rPr>
          <w:sz w:val="24"/>
        </w:rPr>
        <w:t xml:space="preserve">6) дату и номер направляемого предостережения.</w:t>
      </w:r>
    </w:p>
    <w:p>
      <w:pPr>
        <w:pStyle w:val="0"/>
        <w:spacing w:before="240" w:lineRule="auto"/>
        <w:ind w:firstLine="540"/>
        <w:jc w:val="both"/>
      </w:pPr>
      <w:r>
        <w:rPr>
          <w:sz w:val="24"/>
        </w:rPr>
        <w:t xml:space="preserve">В случае необходимости в подтверждение своих доводов контролируемое лицо прилагает к возражению соответствующие документы либо их надлежащим образом заверенные копии.</w:t>
      </w:r>
    </w:p>
    <w:p>
      <w:pPr>
        <w:pStyle w:val="0"/>
        <w:spacing w:before="240" w:lineRule="auto"/>
        <w:ind w:firstLine="540"/>
        <w:jc w:val="both"/>
      </w:pPr>
      <w:r>
        <w:rPr>
          <w:sz w:val="24"/>
        </w:rPr>
        <w:t xml:space="preserve">35. Возражение в отношении предостережения направляется контролируемым лицом в виде электронного документа, подписанного в соответствии с </w:t>
      </w:r>
      <w:hyperlink w:history="0" r:id="rId2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6 статьи 21</w:t>
        </w:r>
      </w:hyperlink>
      <w:r>
        <w:rPr>
          <w:sz w:val="24"/>
        </w:rPr>
        <w:t xml:space="preserve"> Федерального закона от 31 июля 2020 года N 248-ФЗ, на указанный в предостережении адрес электронной почты контрольного (надзорного) органа либо с использованием единого портала государственных и муниципальных услуг.</w:t>
      </w:r>
    </w:p>
    <w:p>
      <w:pPr>
        <w:pStyle w:val="0"/>
        <w:spacing w:before="240" w:lineRule="auto"/>
        <w:ind w:firstLine="540"/>
        <w:jc w:val="both"/>
      </w:pPr>
      <w:r>
        <w:rPr>
          <w:sz w:val="24"/>
        </w:rPr>
        <w:t xml:space="preserve">36. В случае если возражение в отношении предостережения не содержит обязательных сведений, перечисленных выше, в течение трех рабочих дней со дня поступления в контрольный (надзорный) органа оно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pPr>
        <w:pStyle w:val="0"/>
        <w:spacing w:before="240" w:lineRule="auto"/>
        <w:ind w:firstLine="540"/>
        <w:jc w:val="both"/>
      </w:pPr>
      <w:r>
        <w:rPr>
          <w:sz w:val="24"/>
        </w:rPr>
        <w:t xml:space="preserve">37. Возражение в отношении предостережения рассматривается контрольным (надзорным) органом в течение 15 рабочих дней со дня его поступления в контрольный (надзорный) орган.</w:t>
      </w:r>
    </w:p>
    <w:p>
      <w:pPr>
        <w:pStyle w:val="0"/>
        <w:spacing w:before="240" w:lineRule="auto"/>
        <w:ind w:firstLine="540"/>
        <w:jc w:val="both"/>
      </w:pPr>
      <w:r>
        <w:rPr>
          <w:sz w:val="24"/>
        </w:rPr>
        <w:t xml:space="preserve">38. По результатам рассмотрения возражения должностное лицо контрольного (надзорного) органа, рассмотревшее возражение, принимает одно из следующих решений:</w:t>
      </w:r>
    </w:p>
    <w:p>
      <w:pPr>
        <w:pStyle w:val="0"/>
        <w:spacing w:before="240" w:lineRule="auto"/>
        <w:ind w:firstLine="540"/>
        <w:jc w:val="both"/>
      </w:pPr>
      <w:r>
        <w:rPr>
          <w:sz w:val="24"/>
        </w:rPr>
        <w:t xml:space="preserve">а) удовлетворяет возражение в форме отмены объявленного предостережения;</w:t>
      </w:r>
    </w:p>
    <w:p>
      <w:pPr>
        <w:pStyle w:val="0"/>
        <w:spacing w:before="240" w:lineRule="auto"/>
        <w:ind w:firstLine="540"/>
        <w:jc w:val="both"/>
      </w:pPr>
      <w:r>
        <w:rPr>
          <w:sz w:val="24"/>
        </w:rPr>
        <w:t xml:space="preserve">б) отказывает в удовлетворении возражения.</w:t>
      </w:r>
    </w:p>
    <w:p>
      <w:pPr>
        <w:pStyle w:val="0"/>
        <w:spacing w:before="240" w:lineRule="auto"/>
        <w:ind w:firstLine="540"/>
        <w:jc w:val="both"/>
      </w:pPr>
      <w:r>
        <w:rPr>
          <w:sz w:val="24"/>
        </w:rPr>
        <w:t xml:space="preserve">39. Решение о результатах рассмотрения возражения должностным лицом контрольного (надзорного) органа в срок не позднее одного рабочего дня со дня его принятия направляется контролируемому лицу, подавшему возражение, посредством единого портала государственных и муниципальных услуг или в электронной форме. В случае отказа в удовлетворении возражения указываются соответствующие обоснования.</w:t>
      </w:r>
    </w:p>
    <w:p>
      <w:pPr>
        <w:pStyle w:val="0"/>
        <w:spacing w:before="240" w:lineRule="auto"/>
        <w:ind w:firstLine="540"/>
        <w:jc w:val="both"/>
      </w:pPr>
      <w:r>
        <w:rPr>
          <w:sz w:val="24"/>
        </w:rPr>
        <w:t xml:space="preserve">40. Консультирование осуществляется должностными лицами контрольного (надзорного) органа в соответствии со </w:t>
      </w:r>
      <w:hyperlink w:history="0" r:id="rId2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50</w:t>
        </w:r>
      </w:hyperlink>
      <w:r>
        <w:rPr>
          <w:sz w:val="24"/>
        </w:rPr>
        <w:t xml:space="preserve"> Федерального закона от 31 июля 2020 года N 248-ФЗ по телефону, посредством видео-конференц-связи, посредством разработанного на базе государственной информационной системы программного обеспечения, применяемого контрольным (надзорным) органом и контролируемыми лицами с использованием компьютерного устройства (мобильного телефона, смартфона или компьютера, включая планшетный компьютер) (далее - мобильное приложение "Инспектор"), на личном приеме либо в ходе проведения профилактического мероприятия, контрольного (надзорного) мероприятия по вопросам:</w:t>
      </w:r>
    </w:p>
    <w:p>
      <w:pPr>
        <w:pStyle w:val="0"/>
        <w:spacing w:before="240" w:lineRule="auto"/>
        <w:ind w:firstLine="540"/>
        <w:jc w:val="both"/>
      </w:pPr>
      <w:r>
        <w:rPr>
          <w:sz w:val="24"/>
        </w:rPr>
        <w:t xml:space="preserve">а) об обязательных требованиях, предъявляемых к деятельности контролируемых лиц, о соответствии объектов контроля критериям риска причинения вреда, основаниях и рекомендуемых способах снижения категории риска причинения вреда, а также о видах, содержании и об интенсивности контрольных (надзорных) мероприятий, проводимых в отношении объектов контроля исходя из их отнесения к соответствующей категории риска причинения вреда;</w:t>
      </w:r>
    </w:p>
    <w:p>
      <w:pPr>
        <w:pStyle w:val="0"/>
        <w:spacing w:before="240" w:lineRule="auto"/>
        <w:ind w:firstLine="540"/>
        <w:jc w:val="both"/>
      </w:pPr>
      <w:r>
        <w:rPr>
          <w:sz w:val="24"/>
        </w:rPr>
        <w:t xml:space="preserve">б) об осуществлении регионального государственного контроля (надзора);</w:t>
      </w:r>
    </w:p>
    <w:p>
      <w:pPr>
        <w:pStyle w:val="0"/>
        <w:spacing w:before="240" w:lineRule="auto"/>
        <w:ind w:firstLine="540"/>
        <w:jc w:val="both"/>
      </w:pPr>
      <w:r>
        <w:rPr>
          <w:sz w:val="24"/>
        </w:rPr>
        <w:t xml:space="preserve">в) о досудебном обжаловании действий (бездействия) и (или) решений, принятых контрольным (надзорным) органом и его должностными лицами при осуществлении регионального государственного контроля (надзора);</w:t>
      </w:r>
    </w:p>
    <w:p>
      <w:pPr>
        <w:pStyle w:val="0"/>
        <w:spacing w:before="240" w:lineRule="auto"/>
        <w:ind w:firstLine="540"/>
        <w:jc w:val="both"/>
      </w:pPr>
      <w:r>
        <w:rPr>
          <w:sz w:val="24"/>
        </w:rPr>
        <w:t xml:space="preserve">г) об административной ответственности за нарушение обязательных требований;</w:t>
      </w:r>
    </w:p>
    <w:p>
      <w:pPr>
        <w:pStyle w:val="0"/>
        <w:spacing w:before="240" w:lineRule="auto"/>
        <w:ind w:firstLine="540"/>
        <w:jc w:val="both"/>
      </w:pPr>
      <w:r>
        <w:rPr>
          <w:sz w:val="24"/>
        </w:rPr>
        <w:t xml:space="preserve">д) о порядке проведения профилактических мероприятий;</w:t>
      </w:r>
    </w:p>
    <w:p>
      <w:pPr>
        <w:pStyle w:val="0"/>
        <w:spacing w:before="240" w:lineRule="auto"/>
        <w:ind w:firstLine="540"/>
        <w:jc w:val="both"/>
      </w:pPr>
      <w:r>
        <w:rPr>
          <w:sz w:val="24"/>
        </w:rPr>
        <w:t xml:space="preserve">е) о предмете регионального государственного контроля (надзора).</w:t>
      </w:r>
    </w:p>
    <w:p>
      <w:pPr>
        <w:pStyle w:val="0"/>
        <w:spacing w:before="240" w:lineRule="auto"/>
        <w:ind w:firstLine="540"/>
        <w:jc w:val="both"/>
      </w:pPr>
      <w:r>
        <w:rPr>
          <w:sz w:val="24"/>
        </w:rPr>
        <w:t xml:space="preserve">41. Запись на консультирование и осуществление письменного консультирования может производиться с использованием единого портала государственных и муниципальных услуг.</w:t>
      </w:r>
    </w:p>
    <w:p>
      <w:pPr>
        <w:pStyle w:val="0"/>
        <w:spacing w:before="240" w:lineRule="auto"/>
        <w:ind w:firstLine="540"/>
        <w:jc w:val="both"/>
      </w:pPr>
      <w:r>
        <w:rPr>
          <w:sz w:val="24"/>
        </w:rPr>
        <w:t xml:space="preserve">42. По итогам консультирования информация в письменной форме контролируемым лицам и их представителям не представляется, за исключением случаев консультирования на основании обращений контролируемых лиц и их представителей, поступивших в письменной форме или в форме электронного документа, о предоставлении письменного ответа в сроки, установленные Федеральным </w:t>
      </w:r>
      <w:hyperlink w:history="0" r:id="rId26"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43. Консультирование по однотипным обращениям (пять и более) контролируемых лиц и их представителей осуществляется посредством размещения на официальном сайте письменного разъяснения, подписанного начальником (заместителем начальника) контрольного (надзорного) органа.</w:t>
      </w:r>
    </w:p>
    <w:p>
      <w:pPr>
        <w:pStyle w:val="0"/>
        <w:spacing w:before="240" w:lineRule="auto"/>
        <w:ind w:firstLine="540"/>
        <w:jc w:val="both"/>
      </w:pPr>
      <w:r>
        <w:rPr>
          <w:sz w:val="24"/>
        </w:rPr>
        <w:t xml:space="preserve">44. Профилактический визит проводится должностным лицом контрольного (надзорного) органа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45.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а также о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контрольного (надзорного)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46.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47. Обязательный профилактический визит в рамках регионального государственного контроля (надзора) проводится в случаях, предусмотренных </w:t>
      </w:r>
      <w:hyperlink w:history="0" r:id="rId2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пунктами 1</w:t>
        </w:r>
      </w:hyperlink>
      <w:r>
        <w:rPr>
          <w:sz w:val="24"/>
        </w:rPr>
        <w:t xml:space="preserve">, </w:t>
      </w:r>
      <w:hyperlink w:history="0" r:id="rId2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52.1</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48. В случае, предусмотренном </w:t>
      </w:r>
      <w:hyperlink w:history="0" r:id="rId2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1 части 1 статьи 52.1</w:t>
        </w:r>
      </w:hyperlink>
      <w:r>
        <w:rPr>
          <w:sz w:val="24"/>
        </w:rPr>
        <w:t xml:space="preserve"> Федерального закона от 31 июля 2020 года N 248-ФЗ, обязательный профилактический визит проводится в отношении объектов регионального государственного контроля (надзора), отнесенных к категориям значительного, среднего или умеренного риска, с учетом периодичности проведения обязательных профилактических мероприятий, установленной </w:t>
      </w:r>
      <w:hyperlink w:history="0" w:anchor="P77" w:tooltip="19. В отношении объектов регионального государственного контроля (надзора), отнесенных к категориям значительного, среднего или умеренного риска, обязательные профилактические визиты осуществляются с периодичностью, установленной Постановлением Правительства Российской Федерации от 1 октября 2025 года N 1511 &quot;О периодичности проведения обязательных профилактических визитов в рамках государственного контроля (надзора), муниципального контроля&quot;.">
        <w:r>
          <w:rPr>
            <w:sz w:val="24"/>
            <w:color w:val="0000ff"/>
          </w:rPr>
          <w:t xml:space="preserve">пунктом 19</w:t>
        </w:r>
      </w:hyperlink>
      <w:r>
        <w:rPr>
          <w:sz w:val="24"/>
        </w:rPr>
        <w:t xml:space="preserve"> настоящего Положения.</w:t>
      </w:r>
    </w:p>
    <w:p>
      <w:pPr>
        <w:pStyle w:val="0"/>
        <w:spacing w:before="240" w:lineRule="auto"/>
        <w:ind w:firstLine="540"/>
        <w:jc w:val="both"/>
      </w:pPr>
      <w:r>
        <w:rPr>
          <w:sz w:val="24"/>
        </w:rPr>
        <w:t xml:space="preserve">49. В случаях, предусмотренных </w:t>
      </w:r>
      <w:hyperlink w:history="0" r:id="rId3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4 части 1</w:t>
        </w:r>
      </w:hyperlink>
      <w:r>
        <w:rPr>
          <w:sz w:val="24"/>
        </w:rPr>
        <w:t xml:space="preserve"> и </w:t>
      </w:r>
      <w:hyperlink w:history="0" r:id="rId3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части 2 статьи 52.1</w:t>
        </w:r>
      </w:hyperlink>
      <w:r>
        <w:rPr>
          <w:sz w:val="24"/>
        </w:rPr>
        <w:t xml:space="preserve"> Федерального закона от 31 июля 2020 года N 248-ФЗ, проведение обязательных профилактических визитов не ограничено.</w:t>
      </w:r>
    </w:p>
    <w:p>
      <w:pPr>
        <w:pStyle w:val="0"/>
        <w:spacing w:before="240" w:lineRule="auto"/>
        <w:ind w:firstLine="540"/>
        <w:jc w:val="both"/>
      </w:pPr>
      <w:r>
        <w:rPr>
          <w:sz w:val="24"/>
        </w:rPr>
        <w:t xml:space="preserve">50. 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40" w:lineRule="auto"/>
        <w:ind w:firstLine="540"/>
        <w:jc w:val="both"/>
      </w:pPr>
      <w:r>
        <w:rPr>
          <w:sz w:val="24"/>
        </w:rPr>
        <w:t xml:space="preserve">51. При проведении осмотра в рамках обязательного профилактического визита фотосъемка и видеозапись осуществляется с использованием мобильного приложения "Инспектор".</w:t>
      </w:r>
    </w:p>
    <w:p>
      <w:pPr>
        <w:pStyle w:val="0"/>
        <w:spacing w:before="240" w:lineRule="auto"/>
        <w:ind w:firstLine="540"/>
        <w:jc w:val="both"/>
      </w:pPr>
      <w:r>
        <w:rPr>
          <w:sz w:val="24"/>
        </w:rPr>
        <w:t xml:space="preserve">52. Профилактический визит по инициативе контролируемого лица проводится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 порядке, предусмотренном </w:t>
      </w:r>
      <w:hyperlink w:history="0" r:id="rId3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52.2</w:t>
        </w:r>
      </w:hyperlink>
      <w:r>
        <w:rPr>
          <w:sz w:val="24"/>
        </w:rPr>
        <w:t xml:space="preserve"> Федерального закона от 31 июля 2020 года N 248-ФЗ. Заявление о проведении профилактического визита подается контролируемым лицом посредством единого портала государственных и муниципальных услуг.</w:t>
      </w:r>
    </w:p>
    <w:p>
      <w:pPr>
        <w:pStyle w:val="0"/>
        <w:jc w:val="both"/>
      </w:pPr>
      <w:r>
        <w:rPr>
          <w:sz w:val="24"/>
        </w:rPr>
      </w:r>
    </w:p>
    <w:p>
      <w:pPr>
        <w:pStyle w:val="2"/>
        <w:outlineLvl w:val="1"/>
        <w:jc w:val="center"/>
      </w:pPr>
      <w:r>
        <w:rPr>
          <w:sz w:val="24"/>
        </w:rPr>
        <w:t xml:space="preserve">IV. Осуществление регионального</w:t>
      </w:r>
    </w:p>
    <w:p>
      <w:pPr>
        <w:pStyle w:val="2"/>
        <w:jc w:val="center"/>
      </w:pPr>
      <w:r>
        <w:rPr>
          <w:sz w:val="24"/>
        </w:rPr>
        <w:t xml:space="preserve">контроля (надзора)</w:t>
      </w:r>
    </w:p>
    <w:p>
      <w:pPr>
        <w:pStyle w:val="0"/>
        <w:jc w:val="both"/>
      </w:pPr>
      <w:r>
        <w:rPr>
          <w:sz w:val="24"/>
        </w:rPr>
      </w:r>
    </w:p>
    <w:p>
      <w:pPr>
        <w:pStyle w:val="0"/>
        <w:ind w:firstLine="540"/>
        <w:jc w:val="both"/>
      </w:pPr>
      <w:r>
        <w:rPr>
          <w:sz w:val="24"/>
        </w:rPr>
        <w:t xml:space="preserve">53. При осуществлении регионального государственного контроля (надзора) плановые контрольные (надзорные) мероприятия не проводятся.</w:t>
      </w:r>
    </w:p>
    <w:p>
      <w:pPr>
        <w:pStyle w:val="0"/>
        <w:spacing w:before="240" w:lineRule="auto"/>
        <w:ind w:firstLine="540"/>
        <w:jc w:val="both"/>
      </w:pPr>
      <w:r>
        <w:rPr>
          <w:sz w:val="24"/>
        </w:rPr>
        <w:t xml:space="preserve">54. Внеплановые контрольные (надзорные)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w:t>
      </w:r>
      <w:hyperlink w:history="0" r:id="rId3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пунктами 1</w:t>
        </w:r>
      </w:hyperlink>
      <w:r>
        <w:rPr>
          <w:sz w:val="24"/>
        </w:rPr>
        <w:t xml:space="preserve">, </w:t>
      </w:r>
      <w:hyperlink w:history="0" r:id="rId3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3</w:t>
        </w:r>
      </w:hyperlink>
      <w:r>
        <w:rPr>
          <w:sz w:val="24"/>
        </w:rPr>
        <w:t xml:space="preserve"> - </w:t>
      </w:r>
      <w:hyperlink w:history="0" r:id="rId3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5</w:t>
        </w:r>
      </w:hyperlink>
      <w:r>
        <w:rPr>
          <w:sz w:val="24"/>
        </w:rPr>
        <w:t xml:space="preserve">, </w:t>
      </w:r>
      <w:hyperlink w:history="0" r:id="rId3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7</w:t>
        </w:r>
      </w:hyperlink>
      <w:r>
        <w:rPr>
          <w:sz w:val="24"/>
        </w:rPr>
        <w:t xml:space="preserve"> - </w:t>
      </w:r>
      <w:hyperlink w:history="0" r:id="rId3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9 части 1 статьи 57</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55.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начальником (заместителем начальника) контрольного (надзорного) органа.</w:t>
      </w:r>
    </w:p>
    <w:p>
      <w:pPr>
        <w:pStyle w:val="0"/>
        <w:spacing w:before="240" w:lineRule="auto"/>
        <w:ind w:firstLine="540"/>
        <w:jc w:val="both"/>
      </w:pPr>
      <w:r>
        <w:rPr>
          <w:sz w:val="24"/>
        </w:rPr>
        <w:t xml:space="preserve">56. В решении о проведении контрольного (надзорного) мероприятия указываются сведения, предусмотренные </w:t>
      </w:r>
      <w:hyperlink w:history="0" r:id="rId3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1 статьи 64</w:t>
        </w:r>
      </w:hyperlink>
      <w:r>
        <w:rPr>
          <w:sz w:val="24"/>
        </w:rPr>
        <w:t xml:space="preserve"> Федерального закона от 31 июля 2020 года N 248-ФЗ, а также перечень нормативных правовых актов, содержащих обязательные требования, соблюдение которых оценивается при осуществлении регионального государственного контроля (надзора).</w:t>
      </w:r>
    </w:p>
    <w:p>
      <w:pPr>
        <w:pStyle w:val="0"/>
        <w:spacing w:before="240" w:lineRule="auto"/>
        <w:ind w:firstLine="540"/>
        <w:jc w:val="both"/>
      </w:pPr>
      <w:r>
        <w:rPr>
          <w:sz w:val="24"/>
        </w:rPr>
        <w:t xml:space="preserve">57. Контрольные (надзорные) мероприятия без взаимодействия проводятся должностными лицами контрольного (надзорного) органа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pPr>
        <w:pStyle w:val="0"/>
        <w:spacing w:before="240" w:lineRule="auto"/>
        <w:ind w:firstLine="540"/>
        <w:jc w:val="both"/>
      </w:pPr>
      <w:r>
        <w:rPr>
          <w:sz w:val="24"/>
        </w:rPr>
        <w:t xml:space="preserve">58.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случае введения режима повышенной готовности или чрезвычайной ситуации на всей территории Российской Федерации либо на ее части, в случае болезни, ухода за больным родственником, смерти близкого родственника, а также в случае применения к такому контролируемому лицу административного ареста и избрания в отношении него меры пресечения в виде подписки о невыезде и надлежащем поведении, запрете определенных действий, заключения под стражу, домашнего ареста.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такого обращения контролируемым лицом.</w:t>
      </w:r>
    </w:p>
    <w:p>
      <w:pPr>
        <w:pStyle w:val="0"/>
        <w:spacing w:before="240" w:lineRule="auto"/>
        <w:ind w:firstLine="540"/>
        <w:jc w:val="both"/>
      </w:pPr>
      <w:r>
        <w:rPr>
          <w:sz w:val="24"/>
        </w:rPr>
        <w:t xml:space="preserve">59. При проведении контрольного (надзорного) мероприятия должностные лица контрольного (надзорного) органа для фиксации доказательств нарушений обязательных требований могут использовать диагностическое оборудование, прошедшее метрологическую поверку, фотосъемку, аудио- и видеозапись, иные способы фиксации доказательств, в том числе мобильное приложение "Инспектор".</w:t>
      </w:r>
    </w:p>
    <w:p>
      <w:pPr>
        <w:pStyle w:val="0"/>
        <w:spacing w:before="240" w:lineRule="auto"/>
        <w:ind w:firstLine="540"/>
        <w:jc w:val="both"/>
      </w:pPr>
      <w:r>
        <w:rPr>
          <w:sz w:val="24"/>
        </w:rPr>
        <w:t xml:space="preserve">60. Решение об использовании диагностического оборудования, прошедшего метрологическую поверку, фотосъемку, аудио- и видеозапись, иные способы фиксации доказательств, в том числе мобильное приложение "Инспектор" при осуществлении контрольных (надзорных) мероприятий, совершении контрольных (надзорных) действий принимается должностными лицами контрольного (надзорного) органа самостоятельно.</w:t>
      </w:r>
    </w:p>
    <w:p>
      <w:pPr>
        <w:pStyle w:val="0"/>
        <w:spacing w:before="240" w:lineRule="auto"/>
        <w:ind w:firstLine="540"/>
        <w:jc w:val="both"/>
      </w:pPr>
      <w:r>
        <w:rPr>
          <w:sz w:val="24"/>
        </w:rPr>
        <w:t xml:space="preserve">61. В обязательном порядке для доказательства нарушений обязательных требований используется диагностическое оборудование, прошедшее метрологическую поверку, фотосъемка, аудио- и видеозапись, иные способы фиксации доказательств, в том числе мобильное приложение "Инспектор", в случаях:</w:t>
      </w:r>
    </w:p>
    <w:p>
      <w:pPr>
        <w:pStyle w:val="0"/>
        <w:spacing w:before="240" w:lineRule="auto"/>
        <w:ind w:firstLine="540"/>
        <w:jc w:val="both"/>
      </w:pPr>
      <w:r>
        <w:rPr>
          <w:sz w:val="24"/>
        </w:rPr>
        <w:t xml:space="preserve">а) проведения контрольного (надзорного) мероприятия в отношении контролируемого лица, которым создавались (создаются) препятствия в проведении контрольного (надзорного) мероприятия, совершении контрольных (надзорных) действий;</w:t>
      </w:r>
    </w:p>
    <w:p>
      <w:pPr>
        <w:pStyle w:val="0"/>
        <w:spacing w:before="240" w:lineRule="auto"/>
        <w:ind w:firstLine="540"/>
        <w:jc w:val="both"/>
      </w:pPr>
      <w:r>
        <w:rPr>
          <w:sz w:val="24"/>
        </w:rPr>
        <w:t xml:space="preserve">б) проведения досмотра в ходе контрольного (надзорного) мероприятия в отсутствие контролируемого лица.</w:t>
      </w:r>
    </w:p>
    <w:p>
      <w:pPr>
        <w:pStyle w:val="0"/>
        <w:spacing w:before="240" w:lineRule="auto"/>
        <w:ind w:firstLine="540"/>
        <w:jc w:val="both"/>
      </w:pPr>
      <w:r>
        <w:rPr>
          <w:sz w:val="24"/>
        </w:rPr>
        <w:t xml:space="preserve">62. Информация о проведении фотосъемки, аудио- и видеозаписи и об использованных для этих целей технических средствах, в том числе использование мобильного приложения "Инспектор" отражается в акте по результатам контрольного (надзорного) мероприятия.</w:t>
      </w:r>
    </w:p>
    <w:p>
      <w:pPr>
        <w:pStyle w:val="0"/>
        <w:spacing w:before="240" w:lineRule="auto"/>
        <w:ind w:firstLine="540"/>
        <w:jc w:val="both"/>
      </w:pPr>
      <w:r>
        <w:rPr>
          <w:sz w:val="24"/>
        </w:rPr>
        <w:t xml:space="preserve">63. Результаты проведения фотосъемки, аудио- и видеозаписи являются приложением к акту контрольного (надзорного) мероприятия.</w:t>
      </w:r>
    </w:p>
    <w:p>
      <w:pPr>
        <w:pStyle w:val="0"/>
        <w:spacing w:before="240" w:lineRule="auto"/>
        <w:ind w:firstLine="540"/>
        <w:jc w:val="both"/>
      </w:pPr>
      <w:r>
        <w:rPr>
          <w:sz w:val="24"/>
        </w:rPr>
        <w:t xml:space="preserve">64. 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государственной, коммерческой, служебной или иной охраняемой законом тайне.</w:t>
      </w:r>
    </w:p>
    <w:p>
      <w:pPr>
        <w:pStyle w:val="0"/>
        <w:spacing w:before="240" w:lineRule="auto"/>
        <w:ind w:firstLine="540"/>
        <w:jc w:val="both"/>
      </w:pPr>
      <w:r>
        <w:rPr>
          <w:sz w:val="24"/>
        </w:rPr>
        <w:t xml:space="preserve">65. При осуществлении регионального государственного надзора проводятся следующие контрольные (надзорные) мероприятия:</w:t>
      </w:r>
    </w:p>
    <w:p>
      <w:pPr>
        <w:pStyle w:val="0"/>
        <w:spacing w:before="240" w:lineRule="auto"/>
        <w:ind w:firstLine="540"/>
        <w:jc w:val="both"/>
      </w:pPr>
      <w:r>
        <w:rPr>
          <w:sz w:val="24"/>
        </w:rPr>
        <w:t xml:space="preserve">а) предусматривающие взаимодействие с контролируемым лицом:</w:t>
      </w:r>
    </w:p>
    <w:p>
      <w:pPr>
        <w:pStyle w:val="0"/>
        <w:spacing w:before="240" w:lineRule="auto"/>
        <w:ind w:firstLine="540"/>
        <w:jc w:val="both"/>
      </w:pPr>
      <w:r>
        <w:rPr>
          <w:sz w:val="24"/>
        </w:rPr>
        <w:t xml:space="preserve">инспекционный визит;</w:t>
      </w:r>
    </w:p>
    <w:p>
      <w:pPr>
        <w:pStyle w:val="0"/>
        <w:spacing w:before="240" w:lineRule="auto"/>
        <w:ind w:firstLine="540"/>
        <w:jc w:val="both"/>
      </w:pPr>
      <w:r>
        <w:rPr>
          <w:sz w:val="24"/>
        </w:rPr>
        <w:t xml:space="preserve">документарная проверка;</w:t>
      </w:r>
    </w:p>
    <w:p>
      <w:pPr>
        <w:pStyle w:val="0"/>
        <w:spacing w:before="240" w:lineRule="auto"/>
        <w:ind w:firstLine="540"/>
        <w:jc w:val="both"/>
      </w:pPr>
      <w:r>
        <w:rPr>
          <w:sz w:val="24"/>
        </w:rPr>
        <w:t xml:space="preserve">выездная проверка;</w:t>
      </w:r>
    </w:p>
    <w:p>
      <w:pPr>
        <w:pStyle w:val="0"/>
        <w:spacing w:before="240" w:lineRule="auto"/>
        <w:ind w:firstLine="540"/>
        <w:jc w:val="both"/>
      </w:pPr>
      <w:r>
        <w:rPr>
          <w:sz w:val="24"/>
        </w:rPr>
        <w:t xml:space="preserve">б) без взаимодействия с контролируемым лицом:</w:t>
      </w:r>
    </w:p>
    <w:p>
      <w:pPr>
        <w:pStyle w:val="0"/>
        <w:spacing w:before="240" w:lineRule="auto"/>
        <w:ind w:firstLine="540"/>
        <w:jc w:val="both"/>
      </w:pPr>
      <w:r>
        <w:rPr>
          <w:sz w:val="24"/>
        </w:rPr>
        <w:t xml:space="preserve">наблюдение за соблюдением обязательных требований (мониторинг безопасности);</w:t>
      </w:r>
    </w:p>
    <w:p>
      <w:pPr>
        <w:pStyle w:val="0"/>
        <w:spacing w:before="240" w:lineRule="auto"/>
        <w:ind w:firstLine="540"/>
        <w:jc w:val="both"/>
      </w:pPr>
      <w:r>
        <w:rPr>
          <w:sz w:val="24"/>
        </w:rPr>
        <w:t xml:space="preserve">выездное обследование.</w:t>
      </w:r>
    </w:p>
    <w:p>
      <w:pPr>
        <w:pStyle w:val="0"/>
        <w:spacing w:before="240" w:lineRule="auto"/>
        <w:ind w:firstLine="540"/>
        <w:jc w:val="both"/>
      </w:pPr>
      <w:r>
        <w:rPr>
          <w:sz w:val="24"/>
        </w:rPr>
        <w:t xml:space="preserve">66. Инспекционный визит - контрольное (надзорное) мероприятие, проводимое в соответствии со </w:t>
      </w:r>
      <w:hyperlink w:history="0" r:id="rId3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70</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67.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регионального государственного надзора;</w:t>
      </w:r>
    </w:p>
    <w:p>
      <w:pPr>
        <w:pStyle w:val="0"/>
        <w:spacing w:before="240" w:lineRule="auto"/>
        <w:ind w:firstLine="540"/>
        <w:jc w:val="both"/>
      </w:pPr>
      <w:r>
        <w:rPr>
          <w:sz w:val="24"/>
        </w:rPr>
        <w:t xml:space="preserve">д) инструментальное обследование.</w:t>
      </w:r>
    </w:p>
    <w:p>
      <w:pPr>
        <w:pStyle w:val="0"/>
        <w:spacing w:before="240" w:lineRule="auto"/>
        <w:ind w:firstLine="540"/>
        <w:jc w:val="both"/>
      </w:pPr>
      <w:r>
        <w:rPr>
          <w:sz w:val="24"/>
        </w:rPr>
        <w:t xml:space="preserve">68. Документарная проверка - контрольное (надзорное) мероприятие, проводимое в соответствии со </w:t>
      </w:r>
      <w:hyperlink w:history="0" r:id="rId4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72</w:t>
        </w:r>
      </w:hyperlink>
      <w:r>
        <w:rPr>
          <w:sz w:val="24"/>
        </w:rPr>
        <w:t xml:space="preserve"> Федерального закона от 31 июля 2020 года N 248-ФЗ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ими деятельности и связанные с исполнением ими обязательных требований и решений контрольного (надзорного) органа.</w:t>
      </w:r>
    </w:p>
    <w:p>
      <w:pPr>
        <w:pStyle w:val="0"/>
        <w:spacing w:before="240" w:lineRule="auto"/>
        <w:ind w:firstLine="540"/>
        <w:jc w:val="both"/>
      </w:pPr>
      <w:r>
        <w:rPr>
          <w:sz w:val="24"/>
        </w:rPr>
        <w:t xml:space="preserve">69.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pPr>
        <w:pStyle w:val="0"/>
        <w:spacing w:before="240" w:lineRule="auto"/>
        <w:ind w:firstLine="540"/>
        <w:jc w:val="both"/>
      </w:pPr>
      <w:r>
        <w:rPr>
          <w:sz w:val="24"/>
        </w:rPr>
        <w:t xml:space="preserve">70. В ходе документарной проверки, если имеющихся в распоряжении у контрольного (надзорного) органа сведений и документов недостаточно, могут совершаться следующие контрольные (надзорные) действия:</w:t>
      </w:r>
    </w:p>
    <w:p>
      <w:pPr>
        <w:pStyle w:val="0"/>
        <w:spacing w:before="240" w:lineRule="auto"/>
        <w:ind w:firstLine="540"/>
        <w:jc w:val="both"/>
      </w:pPr>
      <w:r>
        <w:rPr>
          <w:sz w:val="24"/>
        </w:rPr>
        <w:t xml:space="preserve">а) получение письменных объяснений;</w:t>
      </w:r>
    </w:p>
    <w:p>
      <w:pPr>
        <w:pStyle w:val="0"/>
        <w:spacing w:before="240" w:lineRule="auto"/>
        <w:ind w:firstLine="540"/>
        <w:jc w:val="both"/>
      </w:pPr>
      <w:r>
        <w:rPr>
          <w:sz w:val="24"/>
        </w:rPr>
        <w:t xml:space="preserve">б) истребование документов.</w:t>
      </w:r>
    </w:p>
    <w:p>
      <w:pPr>
        <w:pStyle w:val="0"/>
        <w:spacing w:before="240" w:lineRule="auto"/>
        <w:ind w:firstLine="540"/>
        <w:jc w:val="both"/>
      </w:pPr>
      <w:r>
        <w:rPr>
          <w:sz w:val="24"/>
        </w:rPr>
        <w:t xml:space="preserve">71. Срок проведения документарной проверки не может превышать 10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контрольным (надзорным) органом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spacing w:before="240" w:lineRule="auto"/>
        <w:ind w:firstLine="540"/>
        <w:jc w:val="both"/>
      </w:pPr>
      <w:r>
        <w:rPr>
          <w:sz w:val="24"/>
        </w:rPr>
        <w:t xml:space="preserve">72. Выездная проверка - контрольное (надзорное) мероприятие, проводимое в соответствии со </w:t>
      </w:r>
      <w:hyperlink w:history="0" r:id="rId4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73</w:t>
        </w:r>
      </w:hyperlink>
      <w:r>
        <w:rPr>
          <w:sz w:val="24"/>
        </w:rPr>
        <w:t xml:space="preserve"> Федерального закона от 31 июля 2020 года N 248-ФЗ посредством взаимодействия с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pPr>
        <w:pStyle w:val="0"/>
        <w:spacing w:before="240" w:lineRule="auto"/>
        <w:ind w:firstLine="540"/>
        <w:jc w:val="both"/>
      </w:pPr>
      <w:r>
        <w:rPr>
          <w:sz w:val="24"/>
        </w:rPr>
        <w:t xml:space="preserve">73.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инструментальное обследование;</w:t>
      </w:r>
    </w:p>
    <w:p>
      <w:pPr>
        <w:pStyle w:val="0"/>
        <w:spacing w:before="240" w:lineRule="auto"/>
        <w:ind w:firstLine="540"/>
        <w:jc w:val="both"/>
      </w:pPr>
      <w:r>
        <w:rPr>
          <w:sz w:val="24"/>
        </w:rPr>
        <w:t xml:space="preserve">д) истребование документов.</w:t>
      </w:r>
    </w:p>
    <w:p>
      <w:pPr>
        <w:pStyle w:val="0"/>
        <w:spacing w:before="240" w:lineRule="auto"/>
        <w:ind w:firstLine="540"/>
        <w:jc w:val="both"/>
      </w:pPr>
      <w:r>
        <w:rPr>
          <w:sz w:val="24"/>
        </w:rPr>
        <w:t xml:space="preserve">74.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 учетом положений, установленных </w:t>
      </w:r>
      <w:hyperlink w:history="0" r:id="rId4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7.1 статьи 73</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75. Наблюдение за соблюдением обязательных требований (мониторингом безопасности) проводится в соответствии со </w:t>
      </w:r>
      <w:hyperlink w:history="0" r:id="rId4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74</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76. При осуществлении наблюдения за соблюдением обязательных требований (мониторинга безопасности) контрольный (надзорный) орган анализирует поступающую информацию об объектах регионального государственного контроля (надзора), имеющуюся у контрольного (надзорного) органа, в том числе данные,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данные, содержащиеся в государственных и муниципальных информационных системах, данные из сети "Интернет", иные общедоступные данные, а также данные, полученные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spacing w:before="240" w:lineRule="auto"/>
        <w:ind w:firstLine="540"/>
        <w:jc w:val="both"/>
      </w:pPr>
      <w:r>
        <w:rPr>
          <w:sz w:val="24"/>
        </w:rPr>
        <w:t xml:space="preserve">77. Выездное обследование проводится в соответствии со </w:t>
      </w:r>
      <w:hyperlink w:history="0" r:id="rId4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75</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78. В ходе выездного обследования может совершаться контрольное (надзорное) действие - осмотр.</w:t>
      </w:r>
    </w:p>
    <w:p>
      <w:pPr>
        <w:pStyle w:val="0"/>
        <w:spacing w:before="240" w:lineRule="auto"/>
        <w:ind w:firstLine="540"/>
        <w:jc w:val="both"/>
      </w:pPr>
      <w:r>
        <w:rPr>
          <w:sz w:val="24"/>
        </w:rPr>
        <w:t xml:space="preserve">Осмотр проводится методом визуального обследования.</w:t>
      </w:r>
    </w:p>
    <w:p>
      <w:pPr>
        <w:pStyle w:val="0"/>
        <w:spacing w:before="240" w:lineRule="auto"/>
        <w:ind w:firstLine="540"/>
        <w:jc w:val="both"/>
      </w:pPr>
      <w:r>
        <w:rPr>
          <w:sz w:val="24"/>
        </w:rPr>
        <w:t xml:space="preserve">79. Инспекционный визит и выездная проверка могут проводиться с использованием средств дистанционного взаимодействия, в том числе посредством видео-конференц-связи, а также мобильного приложения "Инспектор".</w:t>
      </w:r>
    </w:p>
    <w:p>
      <w:pPr>
        <w:pStyle w:val="0"/>
        <w:spacing w:before="240" w:lineRule="auto"/>
        <w:ind w:firstLine="540"/>
        <w:jc w:val="both"/>
      </w:pPr>
      <w:r>
        <w:rPr>
          <w:sz w:val="24"/>
        </w:rPr>
        <w:t xml:space="preserve">80. Осмотр и опрос при проведении инспекционного визита, выездной проверки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40" w:lineRule="auto"/>
        <w:ind w:firstLine="540"/>
        <w:jc w:val="both"/>
      </w:pPr>
      <w:r>
        <w:rPr>
          <w:sz w:val="24"/>
        </w:rPr>
        <w:t xml:space="preserve">81. При осуществлении осмотра при проведении инспекционного визита, выездной проверки фотосъемка и видеозапись осуществляются с использованием мобильного приложения "Инспектор".</w:t>
      </w:r>
    </w:p>
    <w:p>
      <w:pPr>
        <w:pStyle w:val="0"/>
        <w:spacing w:before="240" w:lineRule="auto"/>
        <w:ind w:firstLine="540"/>
        <w:jc w:val="both"/>
      </w:pPr>
      <w:r>
        <w:rPr>
          <w:sz w:val="24"/>
        </w:rPr>
        <w:t xml:space="preserve">82. Формы протокола осмотра, протокола опроса, письменных объяснений, протокола инструментального обследования установлены согласно </w:t>
      </w:r>
      <w:hyperlink w:history="0" w:anchor="P371" w:tooltip="ПРОТОКОЛ ОСМОТРА">
        <w:r>
          <w:rPr>
            <w:sz w:val="24"/>
            <w:color w:val="0000ff"/>
          </w:rPr>
          <w:t xml:space="preserve">приложениям N 3</w:t>
        </w:r>
      </w:hyperlink>
      <w:r>
        <w:rPr>
          <w:sz w:val="24"/>
        </w:rPr>
        <w:t xml:space="preserve"> - </w:t>
      </w:r>
      <w:hyperlink w:history="0" w:anchor="P684" w:tooltip="ПРОТОКОЛ ИНСТРУМЕНТАЛЬНОГО ОБСЛЕДОВАНИЯ">
        <w:r>
          <w:rPr>
            <w:sz w:val="24"/>
            <w:color w:val="0000ff"/>
          </w:rPr>
          <w:t xml:space="preserve">6</w:t>
        </w:r>
      </w:hyperlink>
      <w:r>
        <w:rPr>
          <w:sz w:val="24"/>
        </w:rPr>
        <w:t xml:space="preserve"> к настоящему Положению.</w:t>
      </w:r>
    </w:p>
    <w:p>
      <w:pPr>
        <w:pStyle w:val="0"/>
        <w:spacing w:before="240" w:lineRule="auto"/>
        <w:ind w:firstLine="540"/>
        <w:jc w:val="both"/>
      </w:pPr>
      <w:r>
        <w:rPr>
          <w:sz w:val="24"/>
        </w:rPr>
        <w:t xml:space="preserve">83. Должностные лица, уполномоченные на принятие решений о проведении контрольных (надзорных) мероприятий, могут привлекать экспертов, аттестованных в соответствии с </w:t>
      </w:r>
      <w:hyperlink w:history="0" r:id="rId45" w:tooltip="Постановление Правительства РФ от 29.12.2020 N 2328 &quot;О порядке аттестации экспертов, привлекаемых к осуществлению экспертизы в целях государственного контроля (надзора), муниципального контроля&quot; (вместе с &quot;Правилами аттестации экспертов, привлекаемых к осуществлению экспертизы в целях государственного контроля (надзора), муниципального контроля&quot;) {КонсультантПлюс}">
        <w:r>
          <w:rPr>
            <w:sz w:val="24"/>
            <w:color w:val="0000ff"/>
          </w:rPr>
          <w:t xml:space="preserve">Постановлением</w:t>
        </w:r>
      </w:hyperlink>
      <w:r>
        <w:rPr>
          <w:sz w:val="24"/>
        </w:rPr>
        <w:t xml:space="preserve"> Правительства Российской Федерации от 29 декабря 2020 года N 2328 "О порядке аттестации экспертов, привлекаемых к осуществлению экспертизы в целях государственного контроля (надзора), муниципального контроля".</w:t>
      </w:r>
    </w:p>
    <w:p>
      <w:pPr>
        <w:pStyle w:val="0"/>
        <w:jc w:val="both"/>
      </w:pPr>
      <w:r>
        <w:rPr>
          <w:sz w:val="24"/>
        </w:rPr>
      </w:r>
    </w:p>
    <w:p>
      <w:pPr>
        <w:pStyle w:val="2"/>
        <w:outlineLvl w:val="1"/>
        <w:jc w:val="center"/>
      </w:pPr>
      <w:r>
        <w:rPr>
          <w:sz w:val="24"/>
        </w:rPr>
        <w:t xml:space="preserve">V. Результаты контрольного (надзорного) мероприятия</w:t>
      </w:r>
    </w:p>
    <w:p>
      <w:pPr>
        <w:pStyle w:val="0"/>
        <w:jc w:val="both"/>
      </w:pPr>
      <w:r>
        <w:rPr>
          <w:sz w:val="24"/>
        </w:rPr>
      </w:r>
    </w:p>
    <w:p>
      <w:pPr>
        <w:pStyle w:val="0"/>
        <w:ind w:firstLine="540"/>
        <w:jc w:val="both"/>
      </w:pPr>
      <w:r>
        <w:rPr>
          <w:sz w:val="24"/>
        </w:rPr>
        <w:t xml:space="preserve">84.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Акт направляется контролируемому лицу в порядке, предусмотренном </w:t>
      </w:r>
      <w:hyperlink w:history="0" r:id="rId4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5 статьи 21</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85. Результаты контрольного (надзорного) мероприятия оформляются в порядке, предусмотренном </w:t>
      </w:r>
      <w:hyperlink w:history="0" r:id="rId4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87</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86. По результатам контрольных (надзорных) мероприятий контрольный (надзорный) орган принимает решения, предусмотренные </w:t>
      </w:r>
      <w:hyperlink w:history="0" r:id="rId4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2 статьи 90</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87. Предписание об устранении выявленных нарушений выдается контролируемому лицу в соответствии со </w:t>
      </w:r>
      <w:hyperlink w:history="0" r:id="rId4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90.1</w:t>
        </w:r>
      </w:hyperlink>
      <w:r>
        <w:rPr>
          <w:sz w:val="24"/>
        </w:rPr>
        <w:t xml:space="preserve"> Федерального закона от 31 июля 2020 года N 248-ФЗ.</w:t>
      </w:r>
    </w:p>
    <w:p>
      <w:pPr>
        <w:pStyle w:val="0"/>
        <w:jc w:val="both"/>
      </w:pPr>
      <w:r>
        <w:rPr>
          <w:sz w:val="24"/>
        </w:rPr>
      </w:r>
    </w:p>
    <w:p>
      <w:pPr>
        <w:pStyle w:val="2"/>
        <w:outlineLvl w:val="1"/>
        <w:jc w:val="center"/>
      </w:pPr>
      <w:r>
        <w:rPr>
          <w:sz w:val="24"/>
        </w:rPr>
        <w:t xml:space="preserve">VI. Обжалование решений контрольного (надзорного) органа,</w:t>
      </w:r>
    </w:p>
    <w:p>
      <w:pPr>
        <w:pStyle w:val="2"/>
        <w:jc w:val="center"/>
      </w:pPr>
      <w:r>
        <w:rPr>
          <w:sz w:val="24"/>
        </w:rPr>
        <w:t xml:space="preserve">действий (бездействия) его должностных лиц</w:t>
      </w:r>
    </w:p>
    <w:p>
      <w:pPr>
        <w:pStyle w:val="0"/>
        <w:jc w:val="both"/>
      </w:pPr>
      <w:r>
        <w:rPr>
          <w:sz w:val="24"/>
        </w:rPr>
      </w:r>
    </w:p>
    <w:p>
      <w:pPr>
        <w:pStyle w:val="0"/>
        <w:ind w:firstLine="540"/>
        <w:jc w:val="both"/>
      </w:pPr>
      <w:r>
        <w:rPr>
          <w:sz w:val="24"/>
        </w:rPr>
        <w:t xml:space="preserve">88. Досудебное обжалование решений контрольного (надзорного) органа, действий (бездействия) его должностных лиц осуществляется в соответствии с </w:t>
      </w:r>
      <w:hyperlink w:history="0" r:id="rId5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главой 9</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89.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r:id="rId5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части 4 статьи 40</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90. Жалоба подается контролируемым лицом в контрольный (надзорный) орган в электронном виде с использованием Единого портала государственных и муниципальных услуг, за исключением случая, предусмотренного </w:t>
      </w:r>
      <w:hyperlink w:history="0" w:anchor="P206" w:tooltip="91.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на бумажном носителе с учетом требований законодательства Российской Федерации о государственной и иной охраняемой законом тайне.">
        <w:r>
          <w:rPr>
            <w:sz w:val="24"/>
            <w:color w:val="0000ff"/>
          </w:rPr>
          <w:t xml:space="preserve">пунктом 91</w:t>
        </w:r>
      </w:hyperlink>
      <w:r>
        <w:rPr>
          <w:sz w:val="24"/>
        </w:rPr>
        <w:t xml:space="preserve">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bookmarkStart w:id="206" w:name="P206"/>
    <w:bookmarkEnd w:id="206"/>
    <w:p>
      <w:pPr>
        <w:pStyle w:val="0"/>
        <w:spacing w:before="240" w:lineRule="auto"/>
        <w:ind w:firstLine="540"/>
        <w:jc w:val="both"/>
      </w:pPr>
      <w:r>
        <w:rPr>
          <w:sz w:val="24"/>
        </w:rPr>
        <w:t xml:space="preserve">91.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на бумажном носителе с учетом требований законодательства Российской Федерации о государственной и иной охраняемой законом тайне.</w:t>
      </w:r>
    </w:p>
    <w:p>
      <w:pPr>
        <w:pStyle w:val="0"/>
        <w:spacing w:before="240" w:lineRule="auto"/>
        <w:ind w:firstLine="540"/>
        <w:jc w:val="both"/>
      </w:pPr>
      <w:r>
        <w:rPr>
          <w:sz w:val="24"/>
        </w:rPr>
        <w:t xml:space="preserve">92. Жалоба на решение контрольного (надзорного) органа, его должностных лиц рассматривается коллегиальным органом контрольного (надзорного) органа, состав и порядок работы которого утверждаются приказом контрольного (надзорного) органа.</w:t>
      </w:r>
    </w:p>
    <w:p>
      <w:pPr>
        <w:pStyle w:val="0"/>
        <w:jc w:val="both"/>
      </w:pPr>
      <w:r>
        <w:rPr>
          <w:sz w:val="24"/>
        </w:rPr>
      </w:r>
    </w:p>
    <w:p>
      <w:pPr>
        <w:pStyle w:val="2"/>
        <w:outlineLvl w:val="1"/>
        <w:jc w:val="center"/>
      </w:pPr>
      <w:r>
        <w:rPr>
          <w:sz w:val="24"/>
        </w:rPr>
        <w:t xml:space="preserve">VII. Ключевые показатели регионального государственного</w:t>
      </w:r>
    </w:p>
    <w:p>
      <w:pPr>
        <w:pStyle w:val="2"/>
        <w:jc w:val="center"/>
      </w:pPr>
      <w:r>
        <w:rPr>
          <w:sz w:val="24"/>
        </w:rPr>
        <w:t xml:space="preserve">надзора и их целевые значения, индикативные показатели</w:t>
      </w:r>
    </w:p>
    <w:p>
      <w:pPr>
        <w:pStyle w:val="2"/>
        <w:jc w:val="center"/>
      </w:pPr>
      <w:r>
        <w:rPr>
          <w:sz w:val="24"/>
        </w:rPr>
        <w:t xml:space="preserve">регионального государственного надзора</w:t>
      </w:r>
    </w:p>
    <w:p>
      <w:pPr>
        <w:pStyle w:val="0"/>
        <w:jc w:val="both"/>
      </w:pPr>
      <w:r>
        <w:rPr>
          <w:sz w:val="24"/>
        </w:rPr>
      </w:r>
    </w:p>
    <w:p>
      <w:pPr>
        <w:pStyle w:val="0"/>
        <w:ind w:firstLine="540"/>
        <w:jc w:val="both"/>
      </w:pPr>
      <w:r>
        <w:rPr>
          <w:sz w:val="24"/>
        </w:rPr>
        <w:t xml:space="preserve">93. Оценка результативности и эффективности деятельности инспекции гостехнадзора Брянской области осуществляется по каждому виду контроля на основе системы показателей результативности и эффективности регионального государственного контроля (надзора).</w:t>
      </w:r>
    </w:p>
    <w:p>
      <w:pPr>
        <w:pStyle w:val="0"/>
        <w:spacing w:before="240" w:lineRule="auto"/>
        <w:ind w:firstLine="540"/>
        <w:jc w:val="both"/>
      </w:pPr>
      <w:r>
        <w:rPr>
          <w:sz w:val="24"/>
        </w:rPr>
        <w:t xml:space="preserve">В систему показателей результативности и эффективности деятельности контрольного (надзорного) органа входят:</w:t>
      </w:r>
    </w:p>
    <w:p>
      <w:pPr>
        <w:pStyle w:val="0"/>
        <w:spacing w:before="240" w:lineRule="auto"/>
        <w:ind w:firstLine="540"/>
        <w:jc w:val="both"/>
      </w:pPr>
      <w:r>
        <w:rPr>
          <w:sz w:val="24"/>
        </w:rPr>
        <w:t xml:space="preserve">Ключевые показатели регионального государственного надзора в области технического состояния и эксплуатации аттракционов, и их целевые значения:</w:t>
      </w:r>
    </w:p>
    <w:p>
      <w:pPr>
        <w:pStyle w:val="0"/>
        <w:spacing w:before="240" w:lineRule="auto"/>
        <w:ind w:firstLine="540"/>
        <w:jc w:val="both"/>
      </w:pPr>
      <w:r>
        <w:rPr>
          <w:sz w:val="24"/>
        </w:rPr>
        <w:t xml:space="preserve">а) количество людей, погибших в течение года в результате нарушения обязательных требований к техническому состоянию и эксплуатации аттракционов на 100 тыс. населения, целевое значение которого не более 0;</w:t>
      </w:r>
    </w:p>
    <w:p>
      <w:pPr>
        <w:pStyle w:val="0"/>
        <w:spacing w:before="240" w:lineRule="auto"/>
        <w:ind w:firstLine="540"/>
        <w:jc w:val="both"/>
      </w:pPr>
      <w:r>
        <w:rPr>
          <w:sz w:val="24"/>
        </w:rPr>
        <w:t xml:space="preserve">б) количество людей, которым причинен вред в течение года здоровью различной степени тяжести в результате нарушения обязательных требований к техническому состоянию и эксплуатации аттракционов на 100 тыс. населения, целевое значение которого не более 1.</w:t>
      </w:r>
    </w:p>
    <w:p>
      <w:pPr>
        <w:pStyle w:val="0"/>
        <w:spacing w:before="240" w:lineRule="auto"/>
        <w:ind w:firstLine="540"/>
        <w:jc w:val="both"/>
      </w:pPr>
      <w:r>
        <w:rPr>
          <w:sz w:val="24"/>
        </w:rPr>
        <w:t xml:space="preserve">94. Индикативные показатели регионального государственного надзора в области технического состояния и эксплуатации аттракционов, применяемые для мониторинга надзорной деятельности, ее анализа, выявления проблем, возникающих при ее осуществлении, и определении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40" w:lineRule="auto"/>
        <w:ind w:firstLine="540"/>
        <w:jc w:val="both"/>
      </w:pPr>
      <w:r>
        <w:rPr>
          <w:sz w:val="24"/>
        </w:rPr>
        <w:t xml:space="preserve">1) количество плановых контрольных (надзорных) мероприятий, проведенных за отчетный период;</w:t>
      </w:r>
    </w:p>
    <w:p>
      <w:pPr>
        <w:pStyle w:val="0"/>
        <w:spacing w:before="240" w:lineRule="auto"/>
        <w:ind w:firstLine="540"/>
        <w:jc w:val="both"/>
      </w:pPr>
      <w:r>
        <w:rPr>
          <w:sz w:val="24"/>
        </w:rPr>
        <w:t xml:space="preserve">2) количество внеплановых контрольных (надзорных) мероприятий, проведенных за отчетный период;</w:t>
      </w:r>
    </w:p>
    <w:p>
      <w:pPr>
        <w:pStyle w:val="0"/>
        <w:spacing w:before="240" w:lineRule="auto"/>
        <w:ind w:firstLine="540"/>
        <w:jc w:val="both"/>
      </w:pPr>
      <w:r>
        <w:rPr>
          <w:sz w:val="24"/>
        </w:rPr>
        <w:t xml:space="preserve">3) количество внеплановых контрольных (надзорных) мероприятий, проведенных на основании выявления соответствия объекта регионального государственного надзора параметрам, утвержденным индикаторами риска нарушения обязательных требований, используемых при осуществлении регионального государственного надзора или отклонения объекта регионального государственного надзора от таких параметров, за отчетный период;</w:t>
      </w:r>
    </w:p>
    <w:p>
      <w:pPr>
        <w:pStyle w:val="0"/>
        <w:spacing w:before="240" w:lineRule="auto"/>
        <w:ind w:firstLine="540"/>
        <w:jc w:val="both"/>
      </w:pPr>
      <w:r>
        <w:rPr>
          <w:sz w:val="24"/>
        </w:rPr>
        <w:t xml:space="preserve">4) общее количество контрольных (надзорных) мероприятий с взаимодействием с контролируемыми лицами, проведенных за отчетный период;</w:t>
      </w:r>
    </w:p>
    <w:p>
      <w:pPr>
        <w:pStyle w:val="0"/>
        <w:spacing w:before="240" w:lineRule="auto"/>
        <w:ind w:firstLine="540"/>
        <w:jc w:val="both"/>
      </w:pPr>
      <w:r>
        <w:rPr>
          <w:sz w:val="24"/>
        </w:rPr>
        <w:t xml:space="preserve">5) количество контрольных (надзорных) мероприятий с взаимодействием с контролируемыми лицами по каждому виду контрольного (надзорного) мероприятия, проведенных за отчетный период;</w:t>
      </w:r>
    </w:p>
    <w:p>
      <w:pPr>
        <w:pStyle w:val="0"/>
        <w:spacing w:before="240" w:lineRule="auto"/>
        <w:ind w:firstLine="540"/>
        <w:jc w:val="both"/>
      </w:pPr>
      <w:r>
        <w:rPr>
          <w:sz w:val="24"/>
        </w:rPr>
        <w:t xml:space="preserve">6) количество контрольных (надзорных) мероприятий, проведенных с использованием средств дистанционного взаимодействия, за отчетный период;</w:t>
      </w:r>
    </w:p>
    <w:p>
      <w:pPr>
        <w:pStyle w:val="0"/>
        <w:spacing w:before="240" w:lineRule="auto"/>
        <w:ind w:firstLine="540"/>
        <w:jc w:val="both"/>
      </w:pPr>
      <w:r>
        <w:rPr>
          <w:sz w:val="24"/>
        </w:rPr>
        <w:t xml:space="preserve">7) количество обязательных профилактических визитов, проведенных за отчетный период;</w:t>
      </w:r>
    </w:p>
    <w:p>
      <w:pPr>
        <w:pStyle w:val="0"/>
        <w:spacing w:before="240" w:lineRule="auto"/>
        <w:ind w:firstLine="540"/>
        <w:jc w:val="both"/>
      </w:pPr>
      <w:r>
        <w:rPr>
          <w:sz w:val="24"/>
        </w:rPr>
        <w:t xml:space="preserve">8) количество предостережений о недопустимости нарушения обязательных требований, объявленных за отчетный период;</w:t>
      </w:r>
    </w:p>
    <w:p>
      <w:pPr>
        <w:pStyle w:val="0"/>
        <w:spacing w:before="240" w:lineRule="auto"/>
        <w:ind w:firstLine="540"/>
        <w:jc w:val="both"/>
      </w:pPr>
      <w:r>
        <w:rPr>
          <w:sz w:val="24"/>
        </w:rPr>
        <w:t xml:space="preserve">9) количество контрольных (надзорных) мероприятий, по результатам которых выявлены нарушения обязательных требований, за отчетный период;</w:t>
      </w:r>
    </w:p>
    <w:p>
      <w:pPr>
        <w:pStyle w:val="0"/>
        <w:spacing w:before="240" w:lineRule="auto"/>
        <w:ind w:firstLine="540"/>
        <w:jc w:val="both"/>
      </w:pPr>
      <w:r>
        <w:rPr>
          <w:sz w:val="24"/>
        </w:rPr>
        <w:t xml:space="preserve">10) количество контрольных (надзорных) мероприятий, по итогам которых возбуждены дела об административных правонарушениях, за отчетный период;</w:t>
      </w:r>
    </w:p>
    <w:p>
      <w:pPr>
        <w:pStyle w:val="0"/>
        <w:spacing w:before="240" w:lineRule="auto"/>
        <w:ind w:firstLine="540"/>
        <w:jc w:val="both"/>
      </w:pPr>
      <w:r>
        <w:rPr>
          <w:sz w:val="24"/>
        </w:rPr>
        <w:t xml:space="preserve">11) сумма административных штрафов, наложенных по результатам контрольных (надзорных) мероприятий, за отчетный период;</w:t>
      </w:r>
    </w:p>
    <w:p>
      <w:pPr>
        <w:pStyle w:val="0"/>
        <w:spacing w:before="240" w:lineRule="auto"/>
        <w:ind w:firstLine="540"/>
        <w:jc w:val="both"/>
      </w:pPr>
      <w:r>
        <w:rPr>
          <w:sz w:val="24"/>
        </w:rPr>
        <w:t xml:space="preserve">12) количество направленных в органы прокуратуры заявлений о согласовании проведения контрольных (надзорных) мероприятий, за отчетный период;</w:t>
      </w:r>
    </w:p>
    <w:p>
      <w:pPr>
        <w:pStyle w:val="0"/>
        <w:spacing w:before="240" w:lineRule="auto"/>
        <w:ind w:firstLine="540"/>
        <w:jc w:val="both"/>
      </w:pPr>
      <w:r>
        <w:rPr>
          <w:sz w:val="24"/>
        </w:rPr>
        <w:t xml:space="preserve">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pPr>
        <w:pStyle w:val="0"/>
        <w:spacing w:before="240" w:lineRule="auto"/>
        <w:ind w:firstLine="540"/>
        <w:jc w:val="both"/>
      </w:pPr>
      <w:r>
        <w:rPr>
          <w:sz w:val="24"/>
        </w:rPr>
        <w:t xml:space="preserve">14) общее количество учтенных объектов регионального государственного надзора на конец отчетного периода;</w:t>
      </w:r>
    </w:p>
    <w:p>
      <w:pPr>
        <w:pStyle w:val="0"/>
        <w:spacing w:before="240" w:lineRule="auto"/>
        <w:ind w:firstLine="540"/>
        <w:jc w:val="both"/>
      </w:pPr>
      <w:r>
        <w:rPr>
          <w:sz w:val="24"/>
        </w:rPr>
        <w:t xml:space="preserve">15) количество учтенных объектов регионального государственного надзора, отнесенных к категориям риска, по каждой из категорий риска, на конец отчетного периода;</w:t>
      </w:r>
    </w:p>
    <w:p>
      <w:pPr>
        <w:pStyle w:val="0"/>
        <w:spacing w:before="240" w:lineRule="auto"/>
        <w:ind w:firstLine="540"/>
        <w:jc w:val="both"/>
      </w:pPr>
      <w:r>
        <w:rPr>
          <w:sz w:val="24"/>
        </w:rPr>
        <w:t xml:space="preserve">16) количество учтенных контролируемых лиц на конец отчетного периода;</w:t>
      </w:r>
    </w:p>
    <w:p>
      <w:pPr>
        <w:pStyle w:val="0"/>
        <w:spacing w:before="240" w:lineRule="auto"/>
        <w:ind w:firstLine="540"/>
        <w:jc w:val="both"/>
      </w:pPr>
      <w:r>
        <w:rPr>
          <w:sz w:val="24"/>
        </w:rPr>
        <w:t xml:space="preserve">17) количество учтенных контролируемых лиц, в отношении которых проведены контрольные (надзорные) мероприятия, за отчетный период;</w:t>
      </w:r>
    </w:p>
    <w:p>
      <w:pPr>
        <w:pStyle w:val="0"/>
        <w:spacing w:before="240" w:lineRule="auto"/>
        <w:ind w:firstLine="540"/>
        <w:jc w:val="both"/>
      </w:pPr>
      <w:r>
        <w:rPr>
          <w:sz w:val="24"/>
        </w:rPr>
        <w:t xml:space="preserve">18) общее количество жалоб, поданных контролируемыми лицами в досудебном порядке за отчетный период;</w:t>
      </w:r>
    </w:p>
    <w:p>
      <w:pPr>
        <w:pStyle w:val="0"/>
        <w:spacing w:before="240" w:lineRule="auto"/>
        <w:ind w:firstLine="540"/>
        <w:jc w:val="both"/>
      </w:pPr>
      <w:r>
        <w:rPr>
          <w:sz w:val="24"/>
        </w:rPr>
        <w:t xml:space="preserve">19) количество жалоб, в отношении которых контрольным (надзорным) органом был нарушен срок рассмотрения, за отчетный период;</w:t>
      </w:r>
    </w:p>
    <w:p>
      <w:pPr>
        <w:pStyle w:val="0"/>
        <w:spacing w:before="240" w:lineRule="auto"/>
        <w:ind w:firstLine="540"/>
        <w:jc w:val="both"/>
      </w:pPr>
      <w:r>
        <w:rPr>
          <w:sz w:val="24"/>
        </w:rPr>
        <w:t xml:space="preserve">20)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действий (бездействия) должностных лиц контрольных (надзорных) органов недействительными, за отчетный период;</w:t>
      </w:r>
    </w:p>
    <w:p>
      <w:pPr>
        <w:pStyle w:val="0"/>
        <w:spacing w:before="240" w:lineRule="auto"/>
        <w:ind w:firstLine="540"/>
        <w:jc w:val="both"/>
      </w:pPr>
      <w:r>
        <w:rPr>
          <w:sz w:val="24"/>
        </w:rPr>
        <w:t xml:space="preserve">21) количество исковых заявлений об оспаривании решений, действий (бездействия) должностных лиц контрольных (надзорных) органов, направленных контролируемыми лицами в судебном порядке, за отчетный период;</w:t>
      </w:r>
    </w:p>
    <w:p>
      <w:pPr>
        <w:pStyle w:val="0"/>
        <w:spacing w:before="240" w:lineRule="auto"/>
        <w:ind w:firstLine="540"/>
        <w:jc w:val="both"/>
      </w:pPr>
      <w:r>
        <w:rPr>
          <w:sz w:val="24"/>
        </w:rPr>
        <w:t xml:space="preserve">22) количество исковых заявлений об оспаривании решений, действий (бездействия) должностных лиц контрольных (надзорных)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pPr>
        <w:pStyle w:val="0"/>
        <w:spacing w:before="240" w:lineRule="auto"/>
        <w:ind w:firstLine="540"/>
        <w:jc w:val="both"/>
      </w:pPr>
      <w:r>
        <w:rPr>
          <w:sz w:val="24"/>
        </w:rPr>
        <w:t xml:space="preserve">23) количество контрольных (надзорных) мероприятий, проведенных с грубым нарушением требований к организации и осуществлению регионального государственного надзора и результаты которых были признаны недействительными и (или) отменены, за отчетный период.</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Положению о региональном государственном</w:t>
      </w:r>
    </w:p>
    <w:p>
      <w:pPr>
        <w:pStyle w:val="0"/>
        <w:jc w:val="right"/>
      </w:pPr>
      <w:r>
        <w:rPr>
          <w:sz w:val="24"/>
        </w:rPr>
        <w:t xml:space="preserve">контроле (надзоре) в области технического</w:t>
      </w:r>
    </w:p>
    <w:p>
      <w:pPr>
        <w:pStyle w:val="0"/>
        <w:jc w:val="right"/>
      </w:pPr>
      <w:r>
        <w:rPr>
          <w:sz w:val="24"/>
        </w:rPr>
        <w:t xml:space="preserve">состояния и эксплуатации аттракционов</w:t>
      </w:r>
    </w:p>
    <w:p>
      <w:pPr>
        <w:pStyle w:val="0"/>
        <w:jc w:val="both"/>
      </w:pPr>
      <w:r>
        <w:rPr>
          <w:sz w:val="24"/>
        </w:rPr>
      </w:r>
    </w:p>
    <w:bookmarkStart w:id="252" w:name="P252"/>
    <w:bookmarkEnd w:id="252"/>
    <w:p>
      <w:pPr>
        <w:pStyle w:val="2"/>
        <w:jc w:val="center"/>
      </w:pPr>
      <w:r>
        <w:rPr>
          <w:sz w:val="24"/>
        </w:rPr>
        <w:t xml:space="preserve">Критерии отнесения объектов регионального контроля (надзора)</w:t>
      </w:r>
    </w:p>
    <w:p>
      <w:pPr>
        <w:pStyle w:val="2"/>
        <w:jc w:val="center"/>
      </w:pPr>
      <w:r>
        <w:rPr>
          <w:sz w:val="24"/>
        </w:rPr>
        <w:t xml:space="preserve">к определенной категории риска при осуществлении</w:t>
      </w:r>
    </w:p>
    <w:p>
      <w:pPr>
        <w:pStyle w:val="2"/>
        <w:jc w:val="center"/>
      </w:pPr>
      <w:r>
        <w:rPr>
          <w:sz w:val="24"/>
        </w:rPr>
        <w:t xml:space="preserve">регионального государственного контроля (надзора)</w:t>
      </w:r>
    </w:p>
    <w:p>
      <w:pPr>
        <w:pStyle w:val="0"/>
        <w:jc w:val="both"/>
      </w:pPr>
      <w:r>
        <w:rPr>
          <w:sz w:val="24"/>
        </w:rPr>
      </w:r>
    </w:p>
    <w:p>
      <w:pPr>
        <w:pStyle w:val="0"/>
        <w:ind w:firstLine="540"/>
        <w:jc w:val="both"/>
      </w:pPr>
      <w:r>
        <w:rPr>
          <w:sz w:val="24"/>
        </w:rPr>
        <w:t xml:space="preserve">1. Отнесение объектов регионального государственного надзора в области технического состояния и эксплуатации аттракционов, указанных в </w:t>
      </w:r>
      <w:hyperlink w:history="0" w:anchor="P53" w:tooltip="8. К отношениям, связанным с осуществлением регионального государственного контроля (надзора), применяются положения Федерального закона от 31 июля 2020 года N 248-ФЗ, от 21 декабря 2021 года N 414-ФЗ &quot;Об общих принципах организации публичной власти в субъектах Российской Федерации&quot;.">
        <w:r>
          <w:rPr>
            <w:sz w:val="24"/>
            <w:color w:val="0000ff"/>
          </w:rPr>
          <w:t xml:space="preserve">пункте 8</w:t>
        </w:r>
      </w:hyperlink>
      <w:r>
        <w:rPr>
          <w:sz w:val="24"/>
        </w:rPr>
        <w:t xml:space="preserve"> Положения о региональном государственном надзоре в области технического состояния и эксплуатации аттракционов, утвержденного Правительством Брянской области (далее - объекты регионального государственного надзора, Положение о надзоре), к определенной категории риска осуществляется в соответствии со значениями показателя риска K</w:t>
      </w:r>
      <w:r>
        <w:rPr>
          <w:sz w:val="24"/>
          <w:vertAlign w:val="subscript"/>
        </w:rPr>
        <w:t xml:space="preserve">ra</w:t>
      </w:r>
      <w:r>
        <w:rPr>
          <w:sz w:val="24"/>
        </w:rPr>
        <w:t xml:space="preserve">.</w:t>
      </w:r>
    </w:p>
    <w:p>
      <w:pPr>
        <w:pStyle w:val="0"/>
        <w:spacing w:before="240" w:lineRule="auto"/>
        <w:ind w:firstLine="540"/>
        <w:jc w:val="both"/>
      </w:pPr>
      <w:r>
        <w:rPr>
          <w:sz w:val="24"/>
        </w:rPr>
        <w:t xml:space="preserve">2. При отнесении объектов регионального государственного надзора к определенной категории риска учитываются:</w:t>
      </w:r>
    </w:p>
    <w:p>
      <w:pPr>
        <w:pStyle w:val="0"/>
        <w:spacing w:before="240" w:lineRule="auto"/>
        <w:ind w:firstLine="540"/>
        <w:jc w:val="both"/>
      </w:pPr>
      <w:r>
        <w:rPr>
          <w:sz w:val="24"/>
        </w:rPr>
        <w:t xml:space="preserve">1) степень потенциального биомеханического риска аттракциона (</w:t>
      </w:r>
      <w:r>
        <w:rPr>
          <w:sz w:val="24"/>
          <w:vertAlign w:val="subscript"/>
        </w:rPr>
        <w:t xml:space="preserve">RB</w:t>
      </w:r>
      <w:r>
        <w:rPr>
          <w:sz w:val="24"/>
        </w:rPr>
        <w:t xml:space="preserve">), определенная в соответствии с </w:t>
      </w:r>
      <w:hyperlink w:history="0" r:id="rId52" w:tooltip="Решение Совета Евразийской экономической комиссии от 18.10.2016 N 114 &quot;О техническом регламенте Евразийского экономического союза &quot;О безопасности аттракционов&quot; (вместе с &quot;ТР ЕАЭС 038/2016. Технический регламент Евразийского экономического союза. О безопасности аттракционов&quot;) {КонсультантПлюс}">
        <w:r>
          <w:rPr>
            <w:sz w:val="24"/>
            <w:color w:val="0000ff"/>
          </w:rPr>
          <w:t xml:space="preserve">приложением 2</w:t>
        </w:r>
      </w:hyperlink>
      <w:r>
        <w:rPr>
          <w:sz w:val="24"/>
        </w:rPr>
        <w:t xml:space="preserve"> к техническому регламенту "О безопасности аттракционов", принятому решением Совета Евразийской экономической комиссии от 18 октября 2016 года N 114 "О техническом регламенте Евразийского экономического союза "О безопасности аттракционов";</w:t>
      </w:r>
    </w:p>
    <w:p>
      <w:pPr>
        <w:pStyle w:val="0"/>
        <w:spacing w:before="240" w:lineRule="auto"/>
        <w:ind w:firstLine="540"/>
        <w:jc w:val="both"/>
      </w:pPr>
      <w:r>
        <w:rPr>
          <w:sz w:val="24"/>
        </w:rPr>
        <w:t xml:space="preserve">2) количество аттракционов у контролируемого лица в собственности, подлежащих регистрации в контрольном (надзорном) органе;</w:t>
      </w:r>
    </w:p>
    <w:p>
      <w:pPr>
        <w:pStyle w:val="0"/>
        <w:spacing w:before="240" w:lineRule="auto"/>
        <w:ind w:firstLine="540"/>
        <w:jc w:val="both"/>
      </w:pPr>
      <w:r>
        <w:rPr>
          <w:sz w:val="24"/>
        </w:rPr>
        <w:t xml:space="preserve">3) наличие происшествий, несчастных случаев с участием аттракционов, эксплуатируемых контролируемым лицом, повлекших по его вине причинение вреда жизни и здоровью людей, имуществу, окружающей среде (далее - происшествия с аттракционами), за три года, предшествующих дате установления или пересмотра ранее присвоенной категории риска.</w:t>
      </w:r>
    </w:p>
    <w:p>
      <w:pPr>
        <w:pStyle w:val="0"/>
        <w:spacing w:before="240" w:lineRule="auto"/>
        <w:ind w:firstLine="540"/>
        <w:jc w:val="both"/>
      </w:pPr>
      <w:r>
        <w:rPr>
          <w:sz w:val="24"/>
        </w:rPr>
        <w:t xml:space="preserve">Показатель риска K</w:t>
      </w:r>
      <w:r>
        <w:rPr>
          <w:sz w:val="24"/>
          <w:vertAlign w:val="subscript"/>
        </w:rPr>
        <w:t xml:space="preserve">ra</w:t>
      </w:r>
      <w:r>
        <w:rPr>
          <w:sz w:val="24"/>
        </w:rPr>
        <w:t xml:space="preserve"> при отнесении аттракционов, а также деятельности контролируемых лиц в области технического состояния и эксплуатации аттракционов рассчитывается по формуле:</w:t>
      </w:r>
    </w:p>
    <w:p>
      <w:pPr>
        <w:pStyle w:val="0"/>
        <w:jc w:val="both"/>
      </w:pPr>
      <w:r>
        <w:rPr>
          <w:sz w:val="24"/>
        </w:rPr>
      </w:r>
    </w:p>
    <w:p>
      <w:pPr>
        <w:pStyle w:val="0"/>
        <w:jc w:val="center"/>
      </w:pPr>
      <w:r>
        <w:rPr>
          <w:sz w:val="24"/>
        </w:rPr>
        <w:t xml:space="preserve">K</w:t>
      </w:r>
      <w:r>
        <w:rPr>
          <w:sz w:val="24"/>
          <w:vertAlign w:val="subscript"/>
        </w:rPr>
        <w:t xml:space="preserve">ra</w:t>
      </w:r>
      <w:r>
        <w:rPr>
          <w:sz w:val="24"/>
        </w:rPr>
        <w:t xml:space="preserve"> = Q</w:t>
      </w:r>
      <w:r>
        <w:rPr>
          <w:sz w:val="24"/>
          <w:vertAlign w:val="subscript"/>
        </w:rPr>
        <w:t xml:space="preserve">RB</w:t>
      </w:r>
      <w:r>
        <w:rPr>
          <w:sz w:val="24"/>
        </w:rPr>
        <w:t xml:space="preserve"> + Q</w:t>
      </w:r>
      <w:r>
        <w:rPr>
          <w:sz w:val="24"/>
          <w:vertAlign w:val="subscript"/>
        </w:rPr>
        <w:t xml:space="preserve">П</w:t>
      </w:r>
      <w:r>
        <w:rPr>
          <w:sz w:val="24"/>
        </w:rPr>
        <w:t xml:space="preserve"> + Q</w:t>
      </w:r>
      <w:r>
        <w:rPr>
          <w:sz w:val="24"/>
          <w:vertAlign w:val="subscript"/>
        </w:rPr>
        <w:t xml:space="preserve">A</w:t>
      </w:r>
      <w:r>
        <w:rPr>
          <w:sz w:val="24"/>
        </w:rPr>
        <w:t xml:space="preserve">, где:</w:t>
      </w:r>
    </w:p>
    <w:p>
      <w:pPr>
        <w:pStyle w:val="0"/>
        <w:jc w:val="both"/>
      </w:pPr>
      <w:r>
        <w:rPr>
          <w:sz w:val="24"/>
        </w:rPr>
      </w:r>
    </w:p>
    <w:p>
      <w:pPr>
        <w:pStyle w:val="0"/>
        <w:ind w:firstLine="540"/>
        <w:jc w:val="both"/>
      </w:pPr>
      <w:r>
        <w:rPr>
          <w:sz w:val="24"/>
        </w:rPr>
        <w:t xml:space="preserve">Q</w:t>
      </w:r>
      <w:r>
        <w:rPr>
          <w:sz w:val="24"/>
          <w:vertAlign w:val="subscript"/>
        </w:rPr>
        <w:t xml:space="preserve">RB</w:t>
      </w:r>
      <w:r>
        <w:rPr>
          <w:sz w:val="24"/>
        </w:rPr>
        <w:t xml:space="preserve"> - показатель, присваиваемый в зависимости от степени потенциального биомеханического риска аттракциона;</w:t>
      </w:r>
    </w:p>
    <w:p>
      <w:pPr>
        <w:pStyle w:val="0"/>
        <w:spacing w:before="240" w:lineRule="auto"/>
        <w:ind w:firstLine="540"/>
        <w:jc w:val="both"/>
      </w:pPr>
      <w:r>
        <w:rPr>
          <w:sz w:val="24"/>
        </w:rPr>
        <w:t xml:space="preserve">Q</w:t>
      </w:r>
      <w:r>
        <w:rPr>
          <w:sz w:val="24"/>
          <w:vertAlign w:val="subscript"/>
        </w:rPr>
        <w:t xml:space="preserve">П</w:t>
      </w:r>
      <w:r>
        <w:rPr>
          <w:sz w:val="24"/>
        </w:rPr>
        <w:t xml:space="preserve"> - показатель количества постановлений об административных правонарушениях с аттракционами, штук;</w:t>
      </w:r>
    </w:p>
    <w:p>
      <w:pPr>
        <w:pStyle w:val="0"/>
        <w:spacing w:before="240" w:lineRule="auto"/>
        <w:ind w:firstLine="540"/>
        <w:jc w:val="both"/>
      </w:pPr>
      <w:r>
        <w:rPr>
          <w:sz w:val="24"/>
        </w:rPr>
        <w:t xml:space="preserve">Q</w:t>
      </w:r>
      <w:r>
        <w:rPr>
          <w:sz w:val="24"/>
          <w:vertAlign w:val="subscript"/>
        </w:rPr>
        <w:t xml:space="preserve">A</w:t>
      </w:r>
      <w:r>
        <w:rPr>
          <w:sz w:val="24"/>
        </w:rPr>
        <w:t xml:space="preserve"> - показатель количества аттракционов у контролируемого лица в собственности, подлежащих регистрации в контрольном (надзорном) органе, штук.</w:t>
      </w:r>
    </w:p>
    <w:p>
      <w:pPr>
        <w:pStyle w:val="0"/>
        <w:jc w:val="both"/>
      </w:pPr>
      <w:r>
        <w:rPr>
          <w:sz w:val="24"/>
        </w:rPr>
      </w:r>
    </w:p>
    <w:p>
      <w:pPr>
        <w:pStyle w:val="0"/>
        <w:jc w:val="right"/>
      </w:pPr>
      <w:r>
        <w:rPr>
          <w:sz w:val="24"/>
        </w:rPr>
        <w:t xml:space="preserve">Таблица 1</w:t>
      </w:r>
    </w:p>
    <w:p>
      <w:pPr>
        <w:pStyle w:val="0"/>
        <w:jc w:val="both"/>
      </w:pPr>
      <w:r>
        <w:rPr>
          <w:sz w:val="24"/>
        </w:rPr>
      </w:r>
    </w:p>
    <w:p>
      <w:pPr>
        <w:pStyle w:val="0"/>
        <w:jc w:val="center"/>
      </w:pPr>
      <w:r>
        <w:rPr>
          <w:sz w:val="24"/>
        </w:rPr>
        <w:t xml:space="preserve">Значения показателя Q</w:t>
      </w:r>
      <w:r>
        <w:rPr>
          <w:sz w:val="24"/>
          <w:vertAlign w:val="subscript"/>
        </w:rPr>
        <w:t xml:space="preserve">RB</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90"/>
        <w:gridCol w:w="850"/>
        <w:gridCol w:w="794"/>
        <w:gridCol w:w="737"/>
      </w:tblGrid>
      <w:tr>
        <w:tc>
          <w:tcPr>
            <w:tcW w:w="6690" w:type="dxa"/>
          </w:tcPr>
          <w:p>
            <w:pPr>
              <w:pStyle w:val="0"/>
              <w:jc w:val="center"/>
            </w:pPr>
            <w:r>
              <w:rPr>
                <w:sz w:val="24"/>
              </w:rPr>
              <w:t xml:space="preserve">Степень потенциального биомеханического риска аттракциона</w:t>
            </w:r>
          </w:p>
        </w:tc>
        <w:tc>
          <w:tcPr>
            <w:tcW w:w="850" w:type="dxa"/>
          </w:tcPr>
          <w:p>
            <w:pPr>
              <w:pStyle w:val="0"/>
              <w:jc w:val="center"/>
            </w:pPr>
            <w:r>
              <w:rPr>
                <w:sz w:val="24"/>
              </w:rPr>
              <w:t xml:space="preserve">RB1</w:t>
            </w:r>
          </w:p>
        </w:tc>
        <w:tc>
          <w:tcPr>
            <w:tcW w:w="794" w:type="dxa"/>
          </w:tcPr>
          <w:p>
            <w:pPr>
              <w:pStyle w:val="0"/>
              <w:jc w:val="center"/>
            </w:pPr>
            <w:r>
              <w:rPr>
                <w:sz w:val="24"/>
              </w:rPr>
              <w:t xml:space="preserve">RB2</w:t>
            </w:r>
          </w:p>
        </w:tc>
        <w:tc>
          <w:tcPr>
            <w:tcW w:w="737" w:type="dxa"/>
          </w:tcPr>
          <w:p>
            <w:pPr>
              <w:pStyle w:val="0"/>
              <w:jc w:val="center"/>
            </w:pPr>
            <w:r>
              <w:rPr>
                <w:sz w:val="24"/>
              </w:rPr>
              <w:t xml:space="preserve">RB3</w:t>
            </w:r>
          </w:p>
        </w:tc>
      </w:tr>
      <w:tr>
        <w:tc>
          <w:tcPr>
            <w:tcW w:w="6690" w:type="dxa"/>
          </w:tcPr>
          <w:p>
            <w:pPr>
              <w:pStyle w:val="0"/>
              <w:jc w:val="center"/>
            </w:pPr>
            <w:r>
              <w:rPr>
                <w:sz w:val="24"/>
              </w:rPr>
              <w:t xml:space="preserve">Q</w:t>
            </w:r>
            <w:r>
              <w:rPr>
                <w:sz w:val="24"/>
                <w:vertAlign w:val="subscript"/>
              </w:rPr>
              <w:t xml:space="preserve">RB</w:t>
            </w:r>
          </w:p>
        </w:tc>
        <w:tc>
          <w:tcPr>
            <w:tcW w:w="850" w:type="dxa"/>
          </w:tcPr>
          <w:p>
            <w:pPr>
              <w:pStyle w:val="0"/>
              <w:jc w:val="center"/>
            </w:pPr>
            <w:r>
              <w:rPr>
                <w:sz w:val="24"/>
              </w:rPr>
              <w:t xml:space="preserve">3</w:t>
            </w:r>
          </w:p>
        </w:tc>
        <w:tc>
          <w:tcPr>
            <w:tcW w:w="794" w:type="dxa"/>
          </w:tcPr>
          <w:p>
            <w:pPr>
              <w:pStyle w:val="0"/>
              <w:jc w:val="center"/>
            </w:pPr>
            <w:r>
              <w:rPr>
                <w:sz w:val="24"/>
              </w:rPr>
              <w:t xml:space="preserve">2</w:t>
            </w:r>
          </w:p>
        </w:tc>
        <w:tc>
          <w:tcPr>
            <w:tcW w:w="737" w:type="dxa"/>
          </w:tcPr>
          <w:p>
            <w:pPr>
              <w:pStyle w:val="0"/>
              <w:jc w:val="center"/>
            </w:pPr>
            <w:r>
              <w:rPr>
                <w:sz w:val="24"/>
              </w:rPr>
              <w:t xml:space="preserve">1</w:t>
            </w:r>
          </w:p>
        </w:tc>
      </w:tr>
    </w:tbl>
    <w:p>
      <w:pPr>
        <w:pStyle w:val="0"/>
        <w:jc w:val="both"/>
      </w:pPr>
      <w:r>
        <w:rPr>
          <w:sz w:val="24"/>
        </w:rPr>
      </w:r>
    </w:p>
    <w:p>
      <w:pPr>
        <w:pStyle w:val="0"/>
        <w:jc w:val="right"/>
      </w:pPr>
      <w:r>
        <w:rPr>
          <w:sz w:val="24"/>
        </w:rPr>
        <w:t xml:space="preserve">Таблица 2</w:t>
      </w:r>
    </w:p>
    <w:p>
      <w:pPr>
        <w:pStyle w:val="0"/>
        <w:jc w:val="both"/>
      </w:pPr>
      <w:r>
        <w:rPr>
          <w:sz w:val="24"/>
        </w:rPr>
      </w:r>
    </w:p>
    <w:p>
      <w:pPr>
        <w:pStyle w:val="0"/>
        <w:jc w:val="center"/>
      </w:pPr>
      <w:r>
        <w:rPr>
          <w:sz w:val="24"/>
        </w:rPr>
        <w:t xml:space="preserve">Значения показателя Q</w:t>
      </w:r>
      <w:r>
        <w:rPr>
          <w:sz w:val="24"/>
          <w:vertAlign w:val="subscript"/>
        </w:rPr>
        <w:t xml:space="preserve">П</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53"/>
        <w:gridCol w:w="624"/>
        <w:gridCol w:w="1190"/>
        <w:gridCol w:w="1282"/>
      </w:tblGrid>
      <w:tr>
        <w:tc>
          <w:tcPr>
            <w:tcW w:w="5953" w:type="dxa"/>
          </w:tcPr>
          <w:p>
            <w:pPr>
              <w:pStyle w:val="0"/>
              <w:jc w:val="center"/>
            </w:pPr>
            <w:r>
              <w:rPr>
                <w:sz w:val="24"/>
              </w:rPr>
              <w:t xml:space="preserve">Количество аттракционов у контролируемого лица в собственности, подлежащих регистрации в контрольном (надзорном) органе, штук</w:t>
            </w:r>
          </w:p>
        </w:tc>
        <w:tc>
          <w:tcPr>
            <w:tcW w:w="624" w:type="dxa"/>
          </w:tcPr>
          <w:p>
            <w:pPr>
              <w:pStyle w:val="0"/>
              <w:jc w:val="center"/>
            </w:pPr>
            <w:r>
              <w:rPr>
                <w:sz w:val="24"/>
              </w:rPr>
              <w:t xml:space="preserve">1</w:t>
            </w:r>
          </w:p>
        </w:tc>
        <w:tc>
          <w:tcPr>
            <w:tcW w:w="1190" w:type="dxa"/>
          </w:tcPr>
          <w:p>
            <w:pPr>
              <w:pStyle w:val="0"/>
              <w:jc w:val="center"/>
            </w:pPr>
            <w:r>
              <w:rPr>
                <w:sz w:val="24"/>
              </w:rPr>
              <w:t xml:space="preserve">от 2 до 3</w:t>
            </w:r>
          </w:p>
        </w:tc>
        <w:tc>
          <w:tcPr>
            <w:tcW w:w="1282" w:type="dxa"/>
          </w:tcPr>
          <w:p>
            <w:pPr>
              <w:pStyle w:val="0"/>
              <w:jc w:val="center"/>
            </w:pPr>
            <w:r>
              <w:rPr>
                <w:sz w:val="24"/>
              </w:rPr>
              <w:t xml:space="preserve">4 и более</w:t>
            </w:r>
          </w:p>
        </w:tc>
      </w:tr>
      <w:tr>
        <w:tc>
          <w:tcPr>
            <w:tcW w:w="5953" w:type="dxa"/>
          </w:tcPr>
          <w:p>
            <w:pPr>
              <w:pStyle w:val="0"/>
              <w:jc w:val="center"/>
            </w:pPr>
            <w:r>
              <w:rPr>
                <w:sz w:val="24"/>
              </w:rPr>
              <w:t xml:space="preserve">Q</w:t>
            </w:r>
            <w:r>
              <w:rPr>
                <w:sz w:val="24"/>
                <w:vertAlign w:val="subscript"/>
              </w:rPr>
              <w:t xml:space="preserve">П</w:t>
            </w:r>
          </w:p>
        </w:tc>
        <w:tc>
          <w:tcPr>
            <w:tcW w:w="624" w:type="dxa"/>
            <w:vAlign w:val="center"/>
          </w:tcPr>
          <w:p>
            <w:pPr>
              <w:pStyle w:val="0"/>
              <w:jc w:val="center"/>
            </w:pPr>
            <w:r>
              <w:rPr>
                <w:sz w:val="24"/>
              </w:rPr>
              <w:t xml:space="preserve">0</w:t>
            </w:r>
          </w:p>
        </w:tc>
        <w:tc>
          <w:tcPr>
            <w:tcW w:w="1190" w:type="dxa"/>
            <w:vAlign w:val="bottom"/>
          </w:tcPr>
          <w:p>
            <w:pPr>
              <w:pStyle w:val="0"/>
              <w:jc w:val="center"/>
            </w:pPr>
            <w:r>
              <w:rPr>
                <w:sz w:val="24"/>
              </w:rPr>
              <w:t xml:space="preserve">0,5</w:t>
            </w:r>
          </w:p>
        </w:tc>
        <w:tc>
          <w:tcPr>
            <w:tcW w:w="1282" w:type="dxa"/>
            <w:vAlign w:val="center"/>
          </w:tcPr>
          <w:p>
            <w:pPr>
              <w:pStyle w:val="0"/>
              <w:jc w:val="center"/>
            </w:pPr>
            <w:r>
              <w:rPr>
                <w:sz w:val="24"/>
              </w:rPr>
              <w:t xml:space="preserve">2</w:t>
            </w:r>
          </w:p>
        </w:tc>
      </w:tr>
    </w:tbl>
    <w:p>
      <w:pPr>
        <w:pStyle w:val="0"/>
        <w:jc w:val="both"/>
      </w:pPr>
      <w:r>
        <w:rPr>
          <w:sz w:val="24"/>
        </w:rPr>
      </w:r>
    </w:p>
    <w:p>
      <w:pPr>
        <w:pStyle w:val="0"/>
        <w:jc w:val="right"/>
      </w:pPr>
      <w:r>
        <w:rPr>
          <w:sz w:val="24"/>
        </w:rPr>
        <w:t xml:space="preserve">Таблица 3</w:t>
      </w:r>
    </w:p>
    <w:p>
      <w:pPr>
        <w:pStyle w:val="0"/>
        <w:jc w:val="both"/>
      </w:pPr>
      <w:r>
        <w:rPr>
          <w:sz w:val="24"/>
        </w:rPr>
      </w:r>
    </w:p>
    <w:p>
      <w:pPr>
        <w:pStyle w:val="0"/>
        <w:jc w:val="center"/>
      </w:pPr>
      <w:r>
        <w:rPr>
          <w:sz w:val="24"/>
        </w:rPr>
        <w:t xml:space="preserve">Значения показателя Q</w:t>
      </w:r>
      <w:r>
        <w:rPr>
          <w:sz w:val="24"/>
          <w:vertAlign w:val="subscript"/>
        </w:rPr>
        <w:t xml:space="preserve">A</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53"/>
        <w:gridCol w:w="624"/>
        <w:gridCol w:w="1190"/>
        <w:gridCol w:w="1282"/>
      </w:tblGrid>
      <w:tr>
        <w:tc>
          <w:tcPr>
            <w:tcW w:w="5953" w:type="dxa"/>
          </w:tcPr>
          <w:p>
            <w:pPr>
              <w:pStyle w:val="0"/>
              <w:jc w:val="center"/>
            </w:pPr>
            <w:r>
              <w:rPr>
                <w:sz w:val="24"/>
              </w:rPr>
              <w:t xml:space="preserve">Количество происшествий с аттракционами, штук</w:t>
            </w:r>
          </w:p>
        </w:tc>
        <w:tc>
          <w:tcPr>
            <w:tcW w:w="624" w:type="dxa"/>
          </w:tcPr>
          <w:p>
            <w:pPr>
              <w:pStyle w:val="0"/>
              <w:jc w:val="center"/>
            </w:pPr>
            <w:r>
              <w:rPr>
                <w:sz w:val="24"/>
              </w:rPr>
              <w:t xml:space="preserve">0</w:t>
            </w:r>
          </w:p>
        </w:tc>
        <w:tc>
          <w:tcPr>
            <w:tcW w:w="1190" w:type="dxa"/>
          </w:tcPr>
          <w:p>
            <w:pPr>
              <w:pStyle w:val="0"/>
              <w:jc w:val="center"/>
            </w:pPr>
            <w:r>
              <w:rPr>
                <w:sz w:val="24"/>
              </w:rPr>
              <w:t xml:space="preserve">1</w:t>
            </w:r>
          </w:p>
        </w:tc>
        <w:tc>
          <w:tcPr>
            <w:tcW w:w="1282" w:type="dxa"/>
          </w:tcPr>
          <w:p>
            <w:pPr>
              <w:pStyle w:val="0"/>
              <w:jc w:val="center"/>
            </w:pPr>
            <w:r>
              <w:rPr>
                <w:sz w:val="24"/>
              </w:rPr>
              <w:t xml:space="preserve">2 и более</w:t>
            </w:r>
          </w:p>
        </w:tc>
      </w:tr>
      <w:tr>
        <w:tc>
          <w:tcPr>
            <w:tcW w:w="5953" w:type="dxa"/>
          </w:tcPr>
          <w:p>
            <w:pPr>
              <w:pStyle w:val="0"/>
              <w:jc w:val="center"/>
            </w:pPr>
            <w:r>
              <w:rPr>
                <w:sz w:val="24"/>
              </w:rPr>
              <w:t xml:space="preserve">Q</w:t>
            </w:r>
            <w:r>
              <w:rPr>
                <w:sz w:val="24"/>
                <w:vertAlign w:val="subscript"/>
              </w:rPr>
              <w:t xml:space="preserve">A</w:t>
            </w:r>
          </w:p>
        </w:tc>
        <w:tc>
          <w:tcPr>
            <w:tcW w:w="624" w:type="dxa"/>
            <w:vAlign w:val="center"/>
          </w:tcPr>
          <w:p>
            <w:pPr>
              <w:pStyle w:val="0"/>
              <w:jc w:val="center"/>
            </w:pPr>
            <w:r>
              <w:rPr>
                <w:sz w:val="24"/>
              </w:rPr>
              <w:t xml:space="preserve">0</w:t>
            </w:r>
          </w:p>
        </w:tc>
        <w:tc>
          <w:tcPr>
            <w:tcW w:w="1190" w:type="dxa"/>
            <w:vAlign w:val="bottom"/>
          </w:tcPr>
          <w:p>
            <w:pPr>
              <w:pStyle w:val="0"/>
              <w:jc w:val="center"/>
            </w:pPr>
            <w:r>
              <w:rPr>
                <w:sz w:val="24"/>
              </w:rPr>
              <w:t xml:space="preserve">0,5</w:t>
            </w:r>
          </w:p>
        </w:tc>
        <w:tc>
          <w:tcPr>
            <w:tcW w:w="1282" w:type="dxa"/>
            <w:vAlign w:val="center"/>
          </w:tcPr>
          <w:p>
            <w:pPr>
              <w:pStyle w:val="0"/>
              <w:jc w:val="center"/>
            </w:pPr>
            <w:r>
              <w:rPr>
                <w:sz w:val="24"/>
              </w:rPr>
              <w:t xml:space="preserve">1</w:t>
            </w:r>
          </w:p>
        </w:tc>
      </w:tr>
    </w:tbl>
    <w:p>
      <w:pPr>
        <w:pStyle w:val="0"/>
        <w:jc w:val="both"/>
      </w:pPr>
      <w:r>
        <w:rPr>
          <w:sz w:val="24"/>
        </w:rPr>
      </w:r>
    </w:p>
    <w:p>
      <w:pPr>
        <w:pStyle w:val="0"/>
        <w:jc w:val="right"/>
      </w:pPr>
      <w:r>
        <w:rPr>
          <w:sz w:val="24"/>
        </w:rPr>
        <w:t xml:space="preserve">Таблица 4</w:t>
      </w:r>
    </w:p>
    <w:p>
      <w:pPr>
        <w:pStyle w:val="0"/>
        <w:jc w:val="both"/>
      </w:pPr>
      <w:r>
        <w:rPr>
          <w:sz w:val="24"/>
        </w:rPr>
      </w:r>
    </w:p>
    <w:p>
      <w:pPr>
        <w:pStyle w:val="0"/>
        <w:jc w:val="center"/>
      </w:pPr>
      <w:r>
        <w:rPr>
          <w:sz w:val="24"/>
        </w:rPr>
        <w:t xml:space="preserve">Отнесение объекта регионального государственного надзора</w:t>
      </w:r>
    </w:p>
    <w:p>
      <w:pPr>
        <w:pStyle w:val="0"/>
        <w:jc w:val="center"/>
      </w:pPr>
      <w:r>
        <w:rPr>
          <w:sz w:val="24"/>
        </w:rPr>
        <w:t xml:space="preserve">к категории риска в зависимости от</w:t>
      </w:r>
    </w:p>
    <w:p>
      <w:pPr>
        <w:pStyle w:val="0"/>
        <w:jc w:val="center"/>
      </w:pPr>
      <w:r>
        <w:rPr>
          <w:sz w:val="24"/>
        </w:rPr>
        <w:t xml:space="preserve">значения показателя риска K</w:t>
      </w:r>
      <w:r>
        <w:rPr>
          <w:sz w:val="24"/>
          <w:vertAlign w:val="subscript"/>
        </w:rPr>
        <w:t xml:space="preserve">ra</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3061"/>
      </w:tblGrid>
      <w:tr>
        <w:tc>
          <w:tcPr>
            <w:tcW w:w="2494" w:type="dxa"/>
          </w:tcPr>
          <w:p>
            <w:pPr>
              <w:pStyle w:val="0"/>
              <w:jc w:val="center"/>
            </w:pPr>
            <w:r>
              <w:rPr>
                <w:sz w:val="24"/>
              </w:rPr>
              <w:t xml:space="preserve">Категория риска</w:t>
            </w:r>
          </w:p>
        </w:tc>
        <w:tc>
          <w:tcPr>
            <w:tcW w:w="3061" w:type="dxa"/>
          </w:tcPr>
          <w:p>
            <w:pPr>
              <w:pStyle w:val="0"/>
              <w:jc w:val="center"/>
            </w:pPr>
            <w:r>
              <w:rPr>
                <w:sz w:val="24"/>
              </w:rPr>
              <w:t xml:space="preserve">Количество баллов</w:t>
            </w:r>
          </w:p>
        </w:tc>
      </w:tr>
      <w:tr>
        <w:tc>
          <w:tcPr>
            <w:tcW w:w="2494" w:type="dxa"/>
          </w:tcPr>
          <w:p>
            <w:pPr>
              <w:pStyle w:val="0"/>
              <w:jc w:val="center"/>
            </w:pPr>
            <w:r>
              <w:rPr>
                <w:sz w:val="24"/>
              </w:rPr>
              <w:t xml:space="preserve">Значительный риск</w:t>
            </w:r>
          </w:p>
        </w:tc>
        <w:tc>
          <w:tcPr>
            <w:tcW w:w="3061" w:type="dxa"/>
          </w:tcPr>
          <w:p>
            <w:pPr>
              <w:pStyle w:val="0"/>
              <w:jc w:val="center"/>
            </w:pPr>
            <w:r>
              <w:rPr>
                <w:sz w:val="24"/>
              </w:rPr>
              <w:t xml:space="preserve">3 балла и более</w:t>
            </w:r>
          </w:p>
        </w:tc>
      </w:tr>
      <w:tr>
        <w:tc>
          <w:tcPr>
            <w:tcW w:w="2494" w:type="dxa"/>
          </w:tcPr>
          <w:p>
            <w:pPr>
              <w:pStyle w:val="0"/>
              <w:jc w:val="center"/>
            </w:pPr>
            <w:r>
              <w:rPr>
                <w:sz w:val="24"/>
              </w:rPr>
              <w:t xml:space="preserve">Средний риск</w:t>
            </w:r>
          </w:p>
        </w:tc>
        <w:tc>
          <w:tcPr>
            <w:tcW w:w="3061" w:type="dxa"/>
          </w:tcPr>
          <w:p>
            <w:pPr>
              <w:pStyle w:val="0"/>
              <w:jc w:val="center"/>
            </w:pPr>
            <w:r>
              <w:rPr>
                <w:sz w:val="24"/>
              </w:rPr>
              <w:t xml:space="preserve">2,5 балла включительно</w:t>
            </w:r>
          </w:p>
        </w:tc>
      </w:tr>
      <w:tr>
        <w:tc>
          <w:tcPr>
            <w:tcW w:w="2494" w:type="dxa"/>
          </w:tcPr>
          <w:p>
            <w:pPr>
              <w:pStyle w:val="0"/>
              <w:jc w:val="center"/>
            </w:pPr>
            <w:r>
              <w:rPr>
                <w:sz w:val="24"/>
              </w:rPr>
              <w:t xml:space="preserve">Умеренный риск</w:t>
            </w:r>
          </w:p>
        </w:tc>
        <w:tc>
          <w:tcPr>
            <w:tcW w:w="3061" w:type="dxa"/>
          </w:tcPr>
          <w:p>
            <w:pPr>
              <w:pStyle w:val="0"/>
              <w:jc w:val="center"/>
            </w:pPr>
            <w:r>
              <w:rPr>
                <w:sz w:val="24"/>
              </w:rPr>
              <w:t xml:space="preserve">1,5 балла включительно</w:t>
            </w:r>
          </w:p>
        </w:tc>
      </w:tr>
      <w:tr>
        <w:tc>
          <w:tcPr>
            <w:tcW w:w="2494" w:type="dxa"/>
          </w:tcPr>
          <w:p>
            <w:pPr>
              <w:pStyle w:val="0"/>
              <w:jc w:val="center"/>
            </w:pPr>
            <w:r>
              <w:rPr>
                <w:sz w:val="24"/>
              </w:rPr>
              <w:t xml:space="preserve">Низкий риск</w:t>
            </w:r>
          </w:p>
        </w:tc>
        <w:tc>
          <w:tcPr>
            <w:tcW w:w="3061" w:type="dxa"/>
          </w:tcPr>
          <w:p>
            <w:pPr>
              <w:pStyle w:val="0"/>
              <w:jc w:val="center"/>
            </w:pPr>
            <w:r>
              <w:rPr>
                <w:sz w:val="24"/>
              </w:rPr>
              <w:t xml:space="preserve">до 1 балла включительно</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Положению о региональном государственном</w:t>
      </w:r>
    </w:p>
    <w:p>
      <w:pPr>
        <w:pStyle w:val="0"/>
        <w:jc w:val="right"/>
      </w:pPr>
      <w:r>
        <w:rPr>
          <w:sz w:val="24"/>
        </w:rPr>
        <w:t xml:space="preserve">контроле (надзоре) в области технического</w:t>
      </w:r>
    </w:p>
    <w:p>
      <w:pPr>
        <w:pStyle w:val="0"/>
        <w:jc w:val="right"/>
      </w:pPr>
      <w:r>
        <w:rPr>
          <w:sz w:val="24"/>
        </w:rPr>
        <w:t xml:space="preserve">состояния и эксплуатации аттракционов</w:t>
      </w:r>
    </w:p>
    <w:p>
      <w:pPr>
        <w:pStyle w:val="0"/>
        <w:jc w:val="both"/>
      </w:pPr>
      <w:r>
        <w:rPr>
          <w:sz w:val="24"/>
        </w:rPr>
      </w:r>
    </w:p>
    <w:bookmarkStart w:id="334" w:name="P334"/>
    <w:bookmarkEnd w:id="334"/>
    <w:p>
      <w:pPr>
        <w:pStyle w:val="2"/>
        <w:jc w:val="center"/>
      </w:pPr>
      <w:r>
        <w:rPr>
          <w:sz w:val="24"/>
        </w:rPr>
        <w:t xml:space="preserve">Индикаторы риска нарушения обязательных требований,</w:t>
      </w:r>
    </w:p>
    <w:p>
      <w:pPr>
        <w:pStyle w:val="2"/>
        <w:jc w:val="center"/>
      </w:pPr>
      <w:r>
        <w:rPr>
          <w:sz w:val="24"/>
        </w:rPr>
        <w:t xml:space="preserve">используемые при осуществлении регионального</w:t>
      </w:r>
    </w:p>
    <w:p>
      <w:pPr>
        <w:pStyle w:val="2"/>
        <w:jc w:val="center"/>
      </w:pPr>
      <w:r>
        <w:rPr>
          <w:sz w:val="24"/>
        </w:rPr>
        <w:t xml:space="preserve">государственного надзора в области технического</w:t>
      </w:r>
    </w:p>
    <w:p>
      <w:pPr>
        <w:pStyle w:val="2"/>
        <w:jc w:val="center"/>
      </w:pPr>
      <w:r>
        <w:rPr>
          <w:sz w:val="24"/>
        </w:rPr>
        <w:t xml:space="preserve">состояния и эксплуатации аттракционов</w:t>
      </w:r>
    </w:p>
    <w:p>
      <w:pPr>
        <w:pStyle w:val="0"/>
        <w:jc w:val="both"/>
      </w:pPr>
      <w:r>
        <w:rPr>
          <w:sz w:val="24"/>
        </w:rPr>
      </w:r>
    </w:p>
    <w:p>
      <w:pPr>
        <w:pStyle w:val="0"/>
        <w:ind w:firstLine="540"/>
        <w:jc w:val="both"/>
      </w:pPr>
      <w:r>
        <w:rPr>
          <w:sz w:val="24"/>
        </w:rPr>
        <w:t xml:space="preserve">1. Отсутствие на 30 апреля текущего года сведений о наличии у контролируемого лица свидетельства о государственной регистрации аттракционов, выявленное в ходе наблюдения за соблюдением обязательных требований.</w:t>
      </w:r>
    </w:p>
    <w:p>
      <w:pPr>
        <w:pStyle w:val="0"/>
        <w:spacing w:before="240" w:lineRule="auto"/>
        <w:ind w:firstLine="540"/>
        <w:jc w:val="both"/>
      </w:pPr>
      <w:r>
        <w:rPr>
          <w:sz w:val="24"/>
        </w:rPr>
        <w:t xml:space="preserve">2. Несоответствие характеристик технического состояния аттракциона с отклонением на один и более пунктов норм о характеристиках технического состояния аттракциона, установленных Техническим </w:t>
      </w:r>
      <w:hyperlink w:history="0" r:id="rId53" w:tooltip="Решение Совета Евразийской экономической комиссии от 18.10.2016 N 114 &quot;О техническом регламенте Евразийского экономического союза &quot;О безопасности аттракционов&quot; (вместе с &quot;ТР ЕАЭС 038/2016. Технический регламент Евразийского экономического союза. О безопасности аттракционов&quot;) {КонсультантПлюс}">
        <w:r>
          <w:rPr>
            <w:sz w:val="24"/>
            <w:color w:val="0000ff"/>
          </w:rPr>
          <w:t xml:space="preserve">регламентом</w:t>
        </w:r>
      </w:hyperlink>
      <w:r>
        <w:rPr>
          <w:sz w:val="24"/>
        </w:rPr>
        <w:t xml:space="preserve"> Евразийского экономического союза "О безопасности аттракционов" (ТР ЕАЭС 038/2016), </w:t>
      </w:r>
      <w:hyperlink w:history="0" r:id="rId54" w:tooltip="Постановление Правительства РФ от 20.12.2019 N 1732 (ред. от 09.10.2021) &quot;Об утверждении требований к техническому состоянию и эксплуатации аттракционов&quot; {КонсультантПлюс}">
        <w:r>
          <w:rPr>
            <w:sz w:val="24"/>
            <w:color w:val="0000ff"/>
          </w:rPr>
          <w:t xml:space="preserve">Постановлением</w:t>
        </w:r>
      </w:hyperlink>
      <w:r>
        <w:rPr>
          <w:sz w:val="24"/>
        </w:rPr>
        <w:t xml:space="preserve"> Правительства Российской Федерации от 20 декабря 2019 года N 1732 "Об утверждении требований к техническому состоянию и эксплуатации аттракционов", выявленных в ходе выездного обследования.</w:t>
      </w:r>
    </w:p>
    <w:p>
      <w:pPr>
        <w:pStyle w:val="0"/>
        <w:spacing w:before="240" w:lineRule="auto"/>
        <w:ind w:firstLine="540"/>
        <w:jc w:val="both"/>
      </w:pPr>
      <w:r>
        <w:rPr>
          <w:sz w:val="24"/>
        </w:rPr>
        <w:t xml:space="preserve">3. Установление недостаточности информации, предусмотренной к размещению в зоне видимости посетителей при входе на аттракцион с отклонением на отсутствие одной и более характеристик пунктов норм информирования посетителей, установленных Техническим регламентом Евразийского экономического союза "О безопасности аттракционов" (ТР ЕАЭС 038/2016), Постановлением Правительства Российской Федерации от 20 декабря 2019 года N 1732 "Об утверждении требований к техническому состоянию и эксплуатации аттракционов", выявленной в ходе выездного обследования.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Положению о региональном государственном</w:t>
      </w:r>
    </w:p>
    <w:p>
      <w:pPr>
        <w:pStyle w:val="0"/>
        <w:jc w:val="right"/>
      </w:pPr>
      <w:r>
        <w:rPr>
          <w:sz w:val="24"/>
        </w:rPr>
        <w:t xml:space="preserve">контроле (надзоре) в области технического</w:t>
      </w:r>
    </w:p>
    <w:p>
      <w:pPr>
        <w:pStyle w:val="0"/>
        <w:jc w:val="right"/>
      </w:pPr>
      <w:r>
        <w:rPr>
          <w:sz w:val="24"/>
        </w:rPr>
        <w:t xml:space="preserve">состояния и эксплуатации аттракционов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5571"/>
        <w:gridCol w:w="1459"/>
        <w:gridCol w:w="340"/>
        <w:gridCol w:w="510"/>
        <w:gridCol w:w="340"/>
        <w:gridCol w:w="850"/>
      </w:tblGrid>
      <w:tr>
        <w:tblPrEx>
          <w:tblBorders>
            <w:insideH w:val="single" w:sz="4"/>
          </w:tblBorders>
        </w:tblPrEx>
        <w:tc>
          <w:tcPr>
            <w:gridSpan w:val="4"/>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50" w:type="dxa"/>
            <w:tcBorders>
              <w:top w:val="nil"/>
              <w:left w:val="nil"/>
              <w:bottom w:val="single" w:sz="4"/>
              <w:right w:val="nil"/>
            </w:tcBorders>
          </w:tcPr>
          <w:p>
            <w:pPr>
              <w:pStyle w:val="0"/>
            </w:pPr>
            <w:r>
              <w:rPr>
                <w:sz w:val="24"/>
              </w:rPr>
            </w:r>
          </w:p>
        </w:tc>
      </w:tr>
      <w:tr>
        <w:tc>
          <w:tcPr>
            <w:gridSpan w:val="4"/>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50" w:type="dxa"/>
            <w:tcBorders>
              <w:top w:val="single" w:sz="4"/>
              <w:left w:val="nil"/>
              <w:bottom w:val="nil"/>
              <w:right w:val="nil"/>
            </w:tcBorders>
          </w:tcPr>
          <w:p>
            <w:pPr>
              <w:pStyle w:val="0"/>
              <w:jc w:val="center"/>
            </w:pPr>
            <w:r>
              <w:rPr>
                <w:sz w:val="24"/>
              </w:rPr>
              <w:t xml:space="preserve">(дата)</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аттракционов,</w:t>
            </w:r>
          </w:p>
          <w:p>
            <w:pPr>
              <w:pStyle w:val="0"/>
              <w:jc w:val="center"/>
            </w:pPr>
            <w:r>
              <w:rPr>
                <w:sz w:val="24"/>
              </w:rPr>
              <w:t xml:space="preserve">номер телефона, электронный адрес)</w:t>
            </w:r>
          </w:p>
        </w:tc>
      </w:tr>
      <w:tr>
        <w:tc>
          <w:tcPr>
            <w:gridSpan w:val="2"/>
            <w:tcW w:w="7030" w:type="dxa"/>
            <w:tcBorders>
              <w:top w:val="nil"/>
              <w:left w:val="nil"/>
              <w:bottom w:val="nil"/>
              <w:right w:val="nil"/>
            </w:tcBorders>
          </w:tcPr>
          <w:p>
            <w:pPr>
              <w:pStyle w:val="0"/>
            </w:pPr>
            <w:r>
              <w:rPr>
                <w:sz w:val="24"/>
              </w:rPr>
              <w:t xml:space="preserve">"__" ________________________ 20__ г.</w:t>
            </w:r>
          </w:p>
        </w:tc>
        <w:tc>
          <w:tcPr>
            <w:tcW w:w="340" w:type="dxa"/>
            <w:tcBorders>
              <w:top w:val="nil"/>
              <w:left w:val="nil"/>
              <w:bottom w:val="nil"/>
              <w:right w:val="nil"/>
            </w:tcBorders>
          </w:tcPr>
          <w:p>
            <w:pPr>
              <w:pStyle w:val="0"/>
            </w:pPr>
            <w:r>
              <w:rPr>
                <w:sz w:val="24"/>
              </w:rPr>
            </w:r>
          </w:p>
        </w:tc>
        <w:tc>
          <w:tcPr>
            <w:gridSpan w:val="3"/>
            <w:tcW w:w="1700" w:type="dxa"/>
            <w:tcBorders>
              <w:top w:val="nil"/>
              <w:left w:val="nil"/>
              <w:bottom w:val="single" w:sz="4"/>
              <w:right w:val="nil"/>
            </w:tcBorders>
          </w:tcPr>
          <w:p>
            <w:pPr>
              <w:pStyle w:val="0"/>
            </w:pPr>
            <w:r>
              <w:rPr>
                <w:sz w:val="24"/>
              </w:rPr>
            </w:r>
          </w:p>
        </w:tc>
      </w:tr>
      <w:tr>
        <w:tc>
          <w:tcPr>
            <w:gridSpan w:val="2"/>
            <w:tcW w:w="7030"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1700" w:type="dxa"/>
            <w:tcBorders>
              <w:top w:val="single" w:sz="4"/>
              <w:left w:val="nil"/>
              <w:bottom w:val="nil"/>
              <w:right w:val="nil"/>
            </w:tcBorders>
          </w:tcPr>
          <w:p>
            <w:pPr>
              <w:pStyle w:val="0"/>
              <w:jc w:val="center"/>
            </w:pPr>
            <w:r>
              <w:rPr>
                <w:sz w:val="24"/>
              </w:rPr>
              <w:t xml:space="preserve">(время)</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(место составления)</w:t>
            </w:r>
          </w:p>
        </w:tc>
      </w:tr>
      <w:tr>
        <w:tc>
          <w:tcPr>
            <w:gridSpan w:val="6"/>
            <w:tcW w:w="9070" w:type="dxa"/>
            <w:tcBorders>
              <w:top w:val="nil"/>
              <w:left w:val="nil"/>
              <w:bottom w:val="nil"/>
              <w:right w:val="nil"/>
            </w:tcBorders>
          </w:tcPr>
          <w:bookmarkStart w:id="371" w:name="P371"/>
          <w:bookmarkEnd w:id="371"/>
          <w:p>
            <w:pPr>
              <w:pStyle w:val="0"/>
              <w:jc w:val="center"/>
            </w:pPr>
            <w:r>
              <w:rPr>
                <w:sz w:val="24"/>
              </w:rPr>
              <w:t xml:space="preserve">ПРОТОКОЛ ОСМОТРА</w:t>
            </w:r>
          </w:p>
        </w:tc>
      </w:tr>
      <w:tr>
        <w:tc>
          <w:tcPr>
            <w:gridSpan w:val="6"/>
            <w:tcW w:w="9070" w:type="dxa"/>
            <w:tcBorders>
              <w:top w:val="nil"/>
              <w:left w:val="nil"/>
              <w:bottom w:val="nil"/>
              <w:right w:val="nil"/>
            </w:tcBorders>
          </w:tcPr>
          <w:p>
            <w:pPr>
              <w:pStyle w:val="0"/>
              <w:jc w:val="both"/>
            </w:pPr>
            <w:r>
              <w:rPr>
                <w:sz w:val="24"/>
              </w:rPr>
              <w:t xml:space="preserve">1. Осмотр начат: "__" ___________ 20__ г. в "__" часов "__" минут.</w:t>
            </w:r>
          </w:p>
        </w:tc>
      </w:tr>
      <w:tr>
        <w:tc>
          <w:tcPr>
            <w:gridSpan w:val="6"/>
            <w:tcW w:w="9070" w:type="dxa"/>
            <w:tcBorders>
              <w:top w:val="nil"/>
              <w:left w:val="nil"/>
              <w:bottom w:val="nil"/>
              <w:right w:val="nil"/>
            </w:tcBorders>
          </w:tcPr>
          <w:p>
            <w:pPr>
              <w:pStyle w:val="0"/>
              <w:jc w:val="both"/>
            </w:pPr>
            <w:r>
              <w:rPr>
                <w:sz w:val="24"/>
              </w:rPr>
              <w:t xml:space="preserve">2. Осмотр окончен: "__" ___________ 20__ г. в "__" часов "__" минут.</w:t>
            </w:r>
          </w:p>
        </w:tc>
      </w:tr>
      <w:tr>
        <w:tc>
          <w:tcPr>
            <w:tcW w:w="5571" w:type="dxa"/>
            <w:vAlign w:val="center"/>
            <w:tcBorders>
              <w:top w:val="nil"/>
              <w:left w:val="nil"/>
              <w:bottom w:val="nil"/>
              <w:right w:val="nil"/>
            </w:tcBorders>
          </w:tcPr>
          <w:p>
            <w:pPr>
              <w:pStyle w:val="0"/>
            </w:pPr>
            <w:r>
              <w:rPr>
                <w:sz w:val="24"/>
              </w:rPr>
              <w:t xml:space="preserve">3. Осмотр произведен при проведении:</w:t>
            </w:r>
          </w:p>
        </w:tc>
        <w:tc>
          <w:tcPr>
            <w:gridSpan w:val="5"/>
            <w:tcW w:w="3499" w:type="dxa"/>
            <w:tcBorders>
              <w:top w:val="nil"/>
              <w:left w:val="nil"/>
              <w:bottom w:val="single" w:sz="4"/>
              <w:right w:val="nil"/>
            </w:tcBorders>
          </w:tcPr>
          <w:p>
            <w:pPr>
              <w:pStyle w:val="0"/>
            </w:pPr>
            <w:r>
              <w:rPr>
                <w:sz w:val="24"/>
              </w:rPr>
            </w:r>
          </w:p>
        </w:tc>
      </w:tr>
      <w:tr>
        <w:tc>
          <w:tcPr>
            <w:tcW w:w="5571" w:type="dxa"/>
            <w:tcBorders>
              <w:top w:val="nil"/>
              <w:left w:val="nil"/>
              <w:bottom w:val="nil"/>
              <w:right w:val="nil"/>
            </w:tcBorders>
          </w:tcPr>
          <w:p>
            <w:pPr>
              <w:pStyle w:val="0"/>
            </w:pPr>
            <w:r>
              <w:rPr>
                <w:sz w:val="24"/>
              </w:rPr>
            </w:r>
          </w:p>
        </w:tc>
        <w:tc>
          <w:tcPr>
            <w:gridSpan w:val="5"/>
            <w:tcW w:w="3499" w:type="dxa"/>
            <w:tcBorders>
              <w:top w:val="single" w:sz="4"/>
              <w:left w:val="nil"/>
              <w:bottom w:val="nil"/>
              <w:right w:val="nil"/>
            </w:tcBorders>
          </w:tcPr>
          <w:p>
            <w:pPr>
              <w:pStyle w:val="0"/>
              <w:jc w:val="center"/>
            </w:pPr>
            <w:r>
              <w:rPr>
                <w:sz w:val="24"/>
              </w:rPr>
              <w:t xml:space="preserve">(указывается вид контрольного (надзорного)</w:t>
            </w:r>
          </w:p>
        </w:tc>
      </w:tr>
      <w:tr>
        <w:tc>
          <w:tcPr>
            <w:tcW w:w="5571" w:type="dxa"/>
            <w:tcBorders>
              <w:top w:val="nil"/>
              <w:left w:val="nil"/>
              <w:bottom w:val="single" w:sz="4"/>
              <w:right w:val="nil"/>
            </w:tcBorders>
          </w:tcPr>
          <w:p>
            <w:pPr>
              <w:pStyle w:val="0"/>
            </w:pPr>
            <w:r>
              <w:rPr>
                <w:sz w:val="24"/>
              </w:rPr>
            </w:r>
          </w:p>
        </w:tc>
        <w:tc>
          <w:tcPr>
            <w:gridSpan w:val="5"/>
            <w:tcW w:w="3499" w:type="dxa"/>
            <w:vAlign w:val="center"/>
            <w:tcBorders>
              <w:top w:val="nil"/>
              <w:left w:val="nil"/>
              <w:bottom w:val="nil"/>
              <w:right w:val="nil"/>
            </w:tcBorders>
          </w:tcPr>
          <w:p>
            <w:pPr>
              <w:pStyle w:val="0"/>
              <w:jc w:val="both"/>
            </w:pPr>
            <w:r>
              <w:rPr>
                <w:sz w:val="24"/>
              </w:rPr>
              <w:t xml:space="preserve">.</w:t>
            </w:r>
          </w:p>
        </w:tc>
      </w:tr>
      <w:tr>
        <w:tc>
          <w:tcPr>
            <w:tcW w:w="5571" w:type="dxa"/>
            <w:tcBorders>
              <w:top w:val="single" w:sz="4"/>
              <w:left w:val="nil"/>
              <w:bottom w:val="nil"/>
              <w:right w:val="nil"/>
            </w:tcBorders>
          </w:tcPr>
          <w:p>
            <w:pPr>
              <w:pStyle w:val="0"/>
              <w:jc w:val="center"/>
            </w:pPr>
            <w:r>
              <w:rPr>
                <w:sz w:val="24"/>
              </w:rPr>
              <w:t xml:space="preserve">или профилактического мероприятия)</w:t>
            </w:r>
          </w:p>
        </w:tc>
        <w:tc>
          <w:tcPr>
            <w:gridSpan w:val="5"/>
            <w:tcW w:w="3499" w:type="dxa"/>
            <w:tcBorders>
              <w:top w:val="nil"/>
              <w:left w:val="nil"/>
              <w:bottom w:val="nil"/>
              <w:right w:val="nil"/>
            </w:tcBorders>
          </w:tcPr>
          <w:p>
            <w:pPr>
              <w:pStyle w:val="0"/>
            </w:pPr>
            <w:r>
              <w:rPr>
                <w:sz w:val="24"/>
              </w:rPr>
            </w:r>
          </w:p>
        </w:tc>
      </w:tr>
      <w:tr>
        <w:tc>
          <w:tcPr>
            <w:tcW w:w="5571" w:type="dxa"/>
            <w:vAlign w:val="center"/>
            <w:tcBorders>
              <w:top w:val="nil"/>
              <w:left w:val="nil"/>
              <w:bottom w:val="nil"/>
              <w:right w:val="nil"/>
            </w:tcBorders>
          </w:tcPr>
          <w:p>
            <w:pPr>
              <w:pStyle w:val="0"/>
            </w:pPr>
            <w:r>
              <w:rPr>
                <w:sz w:val="24"/>
              </w:rPr>
              <w:t xml:space="preserve">4. Осмотр произведен на основании:</w:t>
            </w:r>
          </w:p>
        </w:tc>
        <w:tc>
          <w:tcPr>
            <w:gridSpan w:val="5"/>
            <w:tcW w:w="3499" w:type="dxa"/>
            <w:tcBorders>
              <w:top w:val="nil"/>
              <w:left w:val="nil"/>
              <w:bottom w:val="single" w:sz="4"/>
              <w:right w:val="nil"/>
            </w:tcBorders>
          </w:tcPr>
          <w:p>
            <w:pPr>
              <w:pStyle w:val="0"/>
            </w:pPr>
            <w:r>
              <w:rPr>
                <w:sz w:val="24"/>
              </w:rPr>
            </w:r>
          </w:p>
        </w:tc>
      </w:tr>
      <w:tr>
        <w:tc>
          <w:tcPr>
            <w:tcW w:w="5571" w:type="dxa"/>
            <w:tcBorders>
              <w:top w:val="nil"/>
              <w:left w:val="nil"/>
              <w:bottom w:val="nil"/>
              <w:right w:val="nil"/>
            </w:tcBorders>
          </w:tcPr>
          <w:p>
            <w:pPr>
              <w:pStyle w:val="0"/>
            </w:pPr>
            <w:r>
              <w:rPr>
                <w:sz w:val="24"/>
              </w:rPr>
            </w:r>
          </w:p>
        </w:tc>
        <w:tc>
          <w:tcPr>
            <w:gridSpan w:val="5"/>
            <w:tcW w:w="3499"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контрольного (надзорного) или профилактического мероприятия, задания на</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проведение контрольного (надзорного) мероприятия без взаимодействия с</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юридическими лицами, их руководителями и иными должностными лицами, индивидуальными предпринимателями, их уполномоченными представителями)</w:t>
            </w:r>
          </w:p>
        </w:tc>
      </w:tr>
      <w:tr>
        <w:tc>
          <w:tcPr>
            <w:tcW w:w="5571" w:type="dxa"/>
            <w:vAlign w:val="center"/>
            <w:tcBorders>
              <w:top w:val="nil"/>
              <w:left w:val="nil"/>
              <w:bottom w:val="nil"/>
              <w:right w:val="nil"/>
            </w:tcBorders>
          </w:tcPr>
          <w:p>
            <w:pPr>
              <w:pStyle w:val="0"/>
            </w:pPr>
            <w:r>
              <w:rPr>
                <w:sz w:val="24"/>
              </w:rPr>
              <w:t xml:space="preserve">5. Осмотр произведен в отношении:</w:t>
            </w:r>
          </w:p>
        </w:tc>
        <w:tc>
          <w:tcPr>
            <w:gridSpan w:val="5"/>
            <w:tcW w:w="3499" w:type="dxa"/>
            <w:tcBorders>
              <w:top w:val="nil"/>
              <w:left w:val="nil"/>
              <w:bottom w:val="single" w:sz="4"/>
              <w:right w:val="nil"/>
            </w:tcBorders>
          </w:tcPr>
          <w:p>
            <w:pPr>
              <w:pStyle w:val="0"/>
            </w:pPr>
            <w:r>
              <w:rPr>
                <w:sz w:val="24"/>
              </w:rPr>
            </w:r>
          </w:p>
        </w:tc>
      </w:tr>
      <w:tr>
        <w:tc>
          <w:tcPr>
            <w:tcW w:w="5571" w:type="dxa"/>
            <w:tcBorders>
              <w:top w:val="nil"/>
              <w:left w:val="nil"/>
              <w:bottom w:val="nil"/>
              <w:right w:val="nil"/>
            </w:tcBorders>
          </w:tcPr>
          <w:p>
            <w:pPr>
              <w:pStyle w:val="0"/>
            </w:pPr>
            <w:r>
              <w:rPr>
                <w:sz w:val="24"/>
              </w:rPr>
            </w:r>
          </w:p>
        </w:tc>
        <w:tc>
          <w:tcPr>
            <w:gridSpan w:val="5"/>
            <w:tcW w:w="3499" w:type="dxa"/>
            <w:tcBorders>
              <w:top w:val="single" w:sz="4"/>
              <w:left w:val="nil"/>
              <w:bottom w:val="nil"/>
              <w:right w:val="nil"/>
            </w:tcBorders>
          </w:tcPr>
          <w:p>
            <w:pPr>
              <w:pStyle w:val="0"/>
              <w:jc w:val="center"/>
            </w:pPr>
            <w:r>
              <w:rPr>
                <w:sz w:val="24"/>
              </w:rPr>
              <w:t xml:space="preserve">(указываются наименование юридического</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лица, фамилия, имя, отчество (при наличии) руководителя и иного должностного</w:t>
            </w:r>
          </w:p>
        </w:tc>
      </w:tr>
      <w:tr>
        <w:tc>
          <w:tcPr>
            <w:tcW w:w="5571" w:type="dxa"/>
            <w:tcBorders>
              <w:top w:val="nil"/>
              <w:left w:val="nil"/>
              <w:bottom w:val="single" w:sz="4"/>
              <w:right w:val="nil"/>
            </w:tcBorders>
          </w:tcPr>
          <w:p>
            <w:pPr>
              <w:pStyle w:val="0"/>
            </w:pPr>
            <w:r>
              <w:rPr>
                <w:sz w:val="24"/>
              </w:rPr>
            </w:r>
          </w:p>
        </w:tc>
        <w:tc>
          <w:tcPr>
            <w:gridSpan w:val="5"/>
            <w:tcW w:w="3499" w:type="dxa"/>
            <w:vAlign w:val="center"/>
            <w:tcBorders>
              <w:top w:val="nil"/>
              <w:left w:val="nil"/>
              <w:bottom w:val="nil"/>
              <w:right w:val="nil"/>
            </w:tcBorders>
          </w:tcPr>
          <w:p>
            <w:pPr>
              <w:pStyle w:val="0"/>
              <w:jc w:val="both"/>
            </w:pPr>
            <w:r>
              <w:rPr>
                <w:sz w:val="24"/>
              </w:rPr>
              <w:t xml:space="preserve">.</w:t>
            </w:r>
          </w:p>
        </w:tc>
      </w:tr>
      <w:tr>
        <w:tc>
          <w:tcPr>
            <w:tcW w:w="5571" w:type="dxa"/>
            <w:tcBorders>
              <w:top w:val="single" w:sz="4"/>
              <w:left w:val="nil"/>
              <w:bottom w:val="nil"/>
              <w:right w:val="nil"/>
            </w:tcBorders>
          </w:tcPr>
          <w:p>
            <w:pPr>
              <w:pStyle w:val="0"/>
              <w:jc w:val="center"/>
            </w:pPr>
            <w:r>
              <w:rPr>
                <w:sz w:val="24"/>
              </w:rPr>
              <w:t xml:space="preserve">лица, индивидуального предпринимателя, их уполномоченных представителей)</w:t>
            </w:r>
          </w:p>
        </w:tc>
        <w:tc>
          <w:tcPr>
            <w:gridSpan w:val="5"/>
            <w:tcW w:w="3499" w:type="dxa"/>
            <w:tcBorders>
              <w:top w:val="nil"/>
              <w:left w:val="nil"/>
              <w:bottom w:val="nil"/>
              <w:right w:val="nil"/>
            </w:tcBorders>
          </w:tcPr>
          <w:p>
            <w:pPr>
              <w:pStyle w:val="0"/>
            </w:pPr>
            <w:r>
              <w:rPr>
                <w:sz w:val="24"/>
              </w:rPr>
            </w:r>
          </w:p>
        </w:tc>
      </w:tr>
      <w:tr>
        <w:tc>
          <w:tcPr>
            <w:gridSpan w:val="6"/>
            <w:tcW w:w="9070" w:type="dxa"/>
            <w:tcBorders>
              <w:top w:val="nil"/>
              <w:left w:val="nil"/>
              <w:bottom w:val="nil"/>
              <w:right w:val="nil"/>
            </w:tcBorders>
          </w:tcPr>
          <w:p>
            <w:pPr>
              <w:pStyle w:val="0"/>
              <w:jc w:val="both"/>
            </w:pPr>
            <w:r>
              <w:rPr>
                <w:sz w:val="24"/>
              </w:rPr>
              <w:t xml:space="preserve">6. В соответствии со </w:t>
            </w:r>
            <w:hyperlink w:history="0" r:id="rId5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76</w:t>
              </w:r>
            </w:hyperlink>
            <w:r>
              <w:rPr>
                <w:sz w:val="24"/>
              </w:rPr>
              <w:t xml:space="preserve"> Федерального закона "О государственном контроле (надзоре) и муниципальном контроле в Российской Федерации" проведен осмотр следующих аттракционов, находящихся по адресу _________________________________________________________________________:</w:t>
            </w:r>
          </w:p>
          <w:p>
            <w:pPr>
              <w:pStyle w:val="0"/>
              <w:jc w:val="center"/>
            </w:pPr>
            <w:r>
              <w:rPr>
                <w:sz w:val="24"/>
              </w:rPr>
              <w:t xml:space="preserve">(указывается фактический адрес места нахождения самоходных машин</w:t>
            </w:r>
          </w:p>
          <w:p>
            <w:pPr>
              <w:pStyle w:val="0"/>
              <w:jc w:val="center"/>
            </w:pPr>
            <w:r>
              <w:rPr>
                <w:sz w:val="24"/>
              </w:rPr>
              <w:t xml:space="preserve">и других видов техники)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20"/>
        <w:gridCol w:w="1077"/>
        <w:gridCol w:w="964"/>
        <w:gridCol w:w="1587"/>
        <w:gridCol w:w="2032"/>
        <w:gridCol w:w="1960"/>
      </w:tblGrid>
      <w:tr>
        <w:tc>
          <w:tcPr>
            <w:tcW w:w="1420" w:type="dxa"/>
          </w:tcPr>
          <w:p>
            <w:pPr>
              <w:pStyle w:val="0"/>
              <w:jc w:val="center"/>
            </w:pPr>
            <w:r>
              <w:rPr>
                <w:sz w:val="24"/>
              </w:rPr>
              <w:t xml:space="preserve">Вид, марка, тип аттракциона</w:t>
            </w:r>
          </w:p>
        </w:tc>
        <w:tc>
          <w:tcPr>
            <w:tcW w:w="1077" w:type="dxa"/>
          </w:tcPr>
          <w:p>
            <w:pPr>
              <w:pStyle w:val="0"/>
              <w:jc w:val="center"/>
            </w:pPr>
            <w:r>
              <w:rPr>
                <w:sz w:val="24"/>
              </w:rPr>
              <w:t xml:space="preserve">Наименование аттракциона</w:t>
            </w:r>
          </w:p>
        </w:tc>
        <w:tc>
          <w:tcPr>
            <w:tcW w:w="964" w:type="dxa"/>
          </w:tcPr>
          <w:p>
            <w:pPr>
              <w:pStyle w:val="0"/>
              <w:jc w:val="center"/>
            </w:pPr>
            <w:r>
              <w:rPr>
                <w:sz w:val="24"/>
              </w:rPr>
              <w:t xml:space="preserve">Год выпуска</w:t>
            </w:r>
          </w:p>
        </w:tc>
        <w:tc>
          <w:tcPr>
            <w:tcW w:w="1587" w:type="dxa"/>
          </w:tcPr>
          <w:p>
            <w:pPr>
              <w:pStyle w:val="0"/>
              <w:jc w:val="center"/>
            </w:pPr>
            <w:r>
              <w:rPr>
                <w:sz w:val="24"/>
              </w:rPr>
              <w:t xml:space="preserve">Заводской номер, идентификационный номер</w:t>
            </w:r>
          </w:p>
        </w:tc>
        <w:tc>
          <w:tcPr>
            <w:tcW w:w="2032" w:type="dxa"/>
          </w:tcPr>
          <w:p>
            <w:pPr>
              <w:pStyle w:val="0"/>
              <w:jc w:val="center"/>
            </w:pPr>
            <w:r>
              <w:rPr>
                <w:sz w:val="24"/>
              </w:rPr>
              <w:t xml:space="preserve">Степень потенциального биомеханического риска</w:t>
            </w:r>
          </w:p>
        </w:tc>
        <w:tc>
          <w:tcPr>
            <w:tcW w:w="1960" w:type="dxa"/>
          </w:tcPr>
          <w:p>
            <w:pPr>
              <w:pStyle w:val="0"/>
              <w:jc w:val="center"/>
            </w:pPr>
            <w:r>
              <w:rPr>
                <w:sz w:val="24"/>
              </w:rPr>
              <w:t xml:space="preserve">Государственный регистрационный знак (при наличии)</w:t>
            </w:r>
          </w:p>
        </w:tc>
      </w:tr>
      <w:tr>
        <w:tc>
          <w:tcPr>
            <w:tcW w:w="1420" w:type="dxa"/>
          </w:tcPr>
          <w:p>
            <w:pPr>
              <w:pStyle w:val="0"/>
            </w:pPr>
            <w:r>
              <w:rPr>
                <w:sz w:val="24"/>
              </w:rPr>
            </w:r>
          </w:p>
        </w:tc>
        <w:tc>
          <w:tcPr>
            <w:tcW w:w="1077" w:type="dxa"/>
          </w:tcPr>
          <w:p>
            <w:pPr>
              <w:pStyle w:val="0"/>
            </w:pPr>
            <w:r>
              <w:rPr>
                <w:sz w:val="24"/>
              </w:rPr>
            </w:r>
          </w:p>
        </w:tc>
        <w:tc>
          <w:tcPr>
            <w:tcW w:w="964" w:type="dxa"/>
          </w:tcPr>
          <w:p>
            <w:pPr>
              <w:pStyle w:val="0"/>
            </w:pPr>
            <w:r>
              <w:rPr>
                <w:sz w:val="24"/>
              </w:rPr>
            </w:r>
          </w:p>
        </w:tc>
        <w:tc>
          <w:tcPr>
            <w:tcW w:w="1587" w:type="dxa"/>
          </w:tcPr>
          <w:p>
            <w:pPr>
              <w:pStyle w:val="0"/>
            </w:pPr>
            <w:r>
              <w:rPr>
                <w:sz w:val="24"/>
              </w:rPr>
            </w:r>
          </w:p>
        </w:tc>
        <w:tc>
          <w:tcPr>
            <w:tcW w:w="2032" w:type="dxa"/>
          </w:tcPr>
          <w:p>
            <w:pPr>
              <w:pStyle w:val="0"/>
            </w:pPr>
            <w:r>
              <w:rPr>
                <w:sz w:val="24"/>
              </w:rPr>
            </w:r>
          </w:p>
        </w:tc>
        <w:tc>
          <w:tcPr>
            <w:tcW w:w="1960" w:type="dxa"/>
          </w:tcPr>
          <w:p>
            <w:pPr>
              <w:pStyle w:val="0"/>
            </w:pPr>
            <w:r>
              <w:rPr>
                <w:sz w:val="24"/>
              </w:rPr>
            </w:r>
          </w:p>
        </w:tc>
      </w:tr>
      <w:tr>
        <w:tc>
          <w:tcPr>
            <w:tcW w:w="1420" w:type="dxa"/>
          </w:tcPr>
          <w:p>
            <w:pPr>
              <w:pStyle w:val="0"/>
            </w:pPr>
            <w:r>
              <w:rPr>
                <w:sz w:val="24"/>
              </w:rPr>
            </w:r>
          </w:p>
        </w:tc>
        <w:tc>
          <w:tcPr>
            <w:tcW w:w="1077" w:type="dxa"/>
          </w:tcPr>
          <w:p>
            <w:pPr>
              <w:pStyle w:val="0"/>
            </w:pPr>
            <w:r>
              <w:rPr>
                <w:sz w:val="24"/>
              </w:rPr>
            </w:r>
          </w:p>
        </w:tc>
        <w:tc>
          <w:tcPr>
            <w:tcW w:w="964" w:type="dxa"/>
          </w:tcPr>
          <w:p>
            <w:pPr>
              <w:pStyle w:val="0"/>
            </w:pPr>
            <w:r>
              <w:rPr>
                <w:sz w:val="24"/>
              </w:rPr>
            </w:r>
          </w:p>
        </w:tc>
        <w:tc>
          <w:tcPr>
            <w:tcW w:w="1587" w:type="dxa"/>
          </w:tcPr>
          <w:p>
            <w:pPr>
              <w:pStyle w:val="0"/>
            </w:pPr>
            <w:r>
              <w:rPr>
                <w:sz w:val="24"/>
              </w:rPr>
            </w:r>
          </w:p>
        </w:tc>
        <w:tc>
          <w:tcPr>
            <w:tcW w:w="2032" w:type="dxa"/>
          </w:tcPr>
          <w:p>
            <w:pPr>
              <w:pStyle w:val="0"/>
            </w:pPr>
            <w:r>
              <w:rPr>
                <w:sz w:val="24"/>
              </w:rPr>
            </w:r>
          </w:p>
        </w:tc>
        <w:tc>
          <w:tcPr>
            <w:tcW w:w="1960"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824"/>
        <w:gridCol w:w="3221"/>
      </w:tblGrid>
      <w:tr>
        <w:tc>
          <w:tcPr>
            <w:tcW w:w="5824" w:type="dxa"/>
            <w:vAlign w:val="center"/>
            <w:tcBorders>
              <w:top w:val="nil"/>
              <w:left w:val="nil"/>
              <w:bottom w:val="nil"/>
              <w:right w:val="nil"/>
            </w:tcBorders>
          </w:tcPr>
          <w:p>
            <w:pPr>
              <w:pStyle w:val="0"/>
            </w:pPr>
            <w:r>
              <w:rPr>
                <w:sz w:val="24"/>
              </w:rPr>
              <w:t xml:space="preserve">7. Осмотр произведен в присутствии:</w:t>
            </w:r>
          </w:p>
        </w:tc>
        <w:tc>
          <w:tcPr>
            <w:tcW w:w="3221" w:type="dxa"/>
            <w:tcBorders>
              <w:top w:val="nil"/>
              <w:left w:val="nil"/>
              <w:bottom w:val="single" w:sz="4"/>
              <w:right w:val="nil"/>
            </w:tcBorders>
          </w:tcPr>
          <w:p>
            <w:pPr>
              <w:pStyle w:val="0"/>
            </w:pPr>
            <w:r>
              <w:rPr>
                <w:sz w:val="24"/>
              </w:rPr>
            </w:r>
          </w:p>
        </w:tc>
      </w:tr>
      <w:tr>
        <w:tc>
          <w:tcPr>
            <w:tcW w:w="5824" w:type="dxa"/>
            <w:tcBorders>
              <w:top w:val="nil"/>
              <w:left w:val="nil"/>
              <w:bottom w:val="nil"/>
              <w:right w:val="nil"/>
            </w:tcBorders>
          </w:tcPr>
          <w:p>
            <w:pPr>
              <w:pStyle w:val="0"/>
            </w:pPr>
            <w:r>
              <w:rPr>
                <w:sz w:val="24"/>
              </w:rPr>
            </w:r>
          </w:p>
        </w:tc>
        <w:tc>
          <w:tcPr>
            <w:tcW w:w="3221" w:type="dxa"/>
            <w:tcBorders>
              <w:top w:val="single" w:sz="4"/>
              <w:left w:val="nil"/>
              <w:bottom w:val="nil"/>
              <w:right w:val="nil"/>
            </w:tcBorders>
          </w:tcPr>
          <w:p>
            <w:pPr>
              <w:pStyle w:val="0"/>
              <w:jc w:val="center"/>
            </w:pPr>
            <w:r>
              <w:rPr>
                <w:sz w:val="24"/>
              </w:rPr>
              <w:t xml:space="preserve">(указываются фамилия, имя, отчество</w:t>
            </w:r>
          </w:p>
        </w:tc>
      </w:tr>
      <w:tr>
        <w:tc>
          <w:tcPr>
            <w:gridSpan w:val="2"/>
            <w:tcW w:w="9045" w:type="dxa"/>
            <w:tcBorders>
              <w:top w:val="nil"/>
              <w:left w:val="nil"/>
              <w:bottom w:val="single" w:sz="4"/>
              <w:right w:val="nil"/>
            </w:tcBorders>
          </w:tcPr>
          <w:p>
            <w:pPr>
              <w:pStyle w:val="0"/>
            </w:pPr>
            <w:r>
              <w:rPr>
                <w:sz w:val="24"/>
              </w:rPr>
            </w:r>
          </w:p>
        </w:tc>
      </w:tr>
      <w:tr>
        <w:tc>
          <w:tcPr>
            <w:gridSpan w:val="2"/>
            <w:tcW w:w="9045" w:type="dxa"/>
            <w:tcBorders>
              <w:top w:val="single" w:sz="4"/>
              <w:left w:val="nil"/>
              <w:bottom w:val="nil"/>
              <w:right w:val="nil"/>
            </w:tcBorders>
          </w:tcPr>
          <w:p>
            <w:pPr>
              <w:pStyle w:val="0"/>
              <w:jc w:val="center"/>
            </w:pPr>
            <w:r>
              <w:rPr>
                <w:sz w:val="24"/>
              </w:rPr>
              <w:t xml:space="preserve">(при наличии) руководителя юридического лица, иного должностного лица,</w:t>
            </w:r>
          </w:p>
        </w:tc>
      </w:tr>
      <w:tr>
        <w:tc>
          <w:tcPr>
            <w:tcW w:w="5824" w:type="dxa"/>
            <w:tcBorders>
              <w:top w:val="nil"/>
              <w:left w:val="nil"/>
              <w:bottom w:val="single" w:sz="4"/>
              <w:right w:val="nil"/>
            </w:tcBorders>
          </w:tcPr>
          <w:p>
            <w:pPr>
              <w:pStyle w:val="0"/>
            </w:pPr>
            <w:r>
              <w:rPr>
                <w:sz w:val="24"/>
              </w:rPr>
            </w:r>
          </w:p>
        </w:tc>
        <w:tc>
          <w:tcPr>
            <w:tcW w:w="3221" w:type="dxa"/>
            <w:vAlign w:val="center"/>
            <w:tcBorders>
              <w:top w:val="nil"/>
              <w:left w:val="nil"/>
              <w:bottom w:val="nil"/>
              <w:right w:val="nil"/>
            </w:tcBorders>
          </w:tcPr>
          <w:p>
            <w:pPr>
              <w:pStyle w:val="0"/>
              <w:jc w:val="both"/>
            </w:pPr>
            <w:r>
              <w:rPr>
                <w:sz w:val="24"/>
              </w:rPr>
              <w:t xml:space="preserve">.</w:t>
            </w:r>
          </w:p>
        </w:tc>
      </w:tr>
      <w:tr>
        <w:tc>
          <w:tcPr>
            <w:tcW w:w="5824" w:type="dxa"/>
            <w:tcBorders>
              <w:top w:val="single" w:sz="4"/>
              <w:left w:val="nil"/>
              <w:bottom w:val="nil"/>
              <w:right w:val="nil"/>
            </w:tcBorders>
          </w:tcPr>
          <w:p>
            <w:pPr>
              <w:pStyle w:val="0"/>
              <w:jc w:val="center"/>
            </w:pPr>
            <w:r>
              <w:rPr>
                <w:sz w:val="24"/>
              </w:rPr>
              <w:t xml:space="preserve">индивидуального предпринимателя, их уполномоченных представителей)</w:t>
            </w:r>
          </w:p>
        </w:tc>
        <w:tc>
          <w:tcPr>
            <w:tcW w:w="3221" w:type="dxa"/>
            <w:tcBorders>
              <w:top w:val="nil"/>
              <w:left w:val="nil"/>
              <w:bottom w:val="nil"/>
              <w:right w:val="nil"/>
            </w:tcBorders>
          </w:tcPr>
          <w:p>
            <w:pPr>
              <w:pStyle w:val="0"/>
            </w:pPr>
            <w:r>
              <w:rPr>
                <w:sz w:val="24"/>
              </w:rPr>
            </w:r>
          </w:p>
        </w:tc>
      </w:tr>
      <w:tr>
        <w:tc>
          <w:tcPr>
            <w:gridSpan w:val="2"/>
            <w:tcW w:w="9045" w:type="dxa"/>
            <w:tcBorders>
              <w:top w:val="nil"/>
              <w:left w:val="nil"/>
              <w:bottom w:val="nil"/>
              <w:right w:val="nil"/>
            </w:tcBorders>
          </w:tcPr>
          <w:p>
            <w:pPr>
              <w:pStyle w:val="0"/>
              <w:jc w:val="both"/>
            </w:pPr>
            <w:r>
              <w:rPr>
                <w:sz w:val="24"/>
              </w:rPr>
              <w:t xml:space="preserve">8. Осмотр произведен с использованием фотосъемки, аудио- и видеозаписи: _________________________________________________________________________.</w:t>
            </w:r>
          </w:p>
          <w:p>
            <w:pPr>
              <w:pStyle w:val="0"/>
              <w:jc w:val="center"/>
            </w:pPr>
            <w:r>
              <w:rPr>
                <w:sz w:val="24"/>
              </w:rPr>
              <w:t xml:space="preserve">(указываются марка, модель технических средств)</w:t>
            </w:r>
          </w:p>
        </w:tc>
      </w:tr>
      <w:tr>
        <w:tc>
          <w:tcPr>
            <w:gridSpan w:val="2"/>
            <w:tcW w:w="9045" w:type="dxa"/>
            <w:tcBorders>
              <w:top w:val="nil"/>
              <w:left w:val="nil"/>
              <w:bottom w:val="nil"/>
              <w:right w:val="nil"/>
            </w:tcBorders>
          </w:tcPr>
          <w:p>
            <w:pPr>
              <w:pStyle w:val="0"/>
              <w:jc w:val="both"/>
            </w:pPr>
            <w:r>
              <w:rPr>
                <w:sz w:val="24"/>
              </w:rPr>
              <w:t xml:space="preserve">9. Осмотром установлены следующие факты нарушения обязательных требований безопасности и требований к техническому состоянию и эксплуатации аттракционов: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20"/>
        <w:gridCol w:w="964"/>
        <w:gridCol w:w="964"/>
        <w:gridCol w:w="1417"/>
        <w:gridCol w:w="1531"/>
        <w:gridCol w:w="1960"/>
        <w:gridCol w:w="794"/>
      </w:tblGrid>
      <w:tr>
        <w:tc>
          <w:tcPr>
            <w:tcW w:w="1420" w:type="dxa"/>
          </w:tcPr>
          <w:p>
            <w:pPr>
              <w:pStyle w:val="0"/>
              <w:jc w:val="center"/>
            </w:pPr>
            <w:r>
              <w:rPr>
                <w:sz w:val="24"/>
              </w:rPr>
              <w:t xml:space="preserve">Вид, марка, тип аттракциона</w:t>
            </w:r>
          </w:p>
        </w:tc>
        <w:tc>
          <w:tcPr>
            <w:tcW w:w="964" w:type="dxa"/>
          </w:tcPr>
          <w:p>
            <w:pPr>
              <w:pStyle w:val="0"/>
              <w:jc w:val="center"/>
            </w:pPr>
            <w:r>
              <w:rPr>
                <w:sz w:val="24"/>
              </w:rPr>
              <w:t xml:space="preserve">Наименование аттракциона</w:t>
            </w:r>
          </w:p>
        </w:tc>
        <w:tc>
          <w:tcPr>
            <w:tcW w:w="964" w:type="dxa"/>
          </w:tcPr>
          <w:p>
            <w:pPr>
              <w:pStyle w:val="0"/>
              <w:jc w:val="center"/>
            </w:pPr>
            <w:r>
              <w:rPr>
                <w:sz w:val="24"/>
              </w:rPr>
              <w:t xml:space="preserve">Год выпуска</w:t>
            </w:r>
          </w:p>
        </w:tc>
        <w:tc>
          <w:tcPr>
            <w:tcW w:w="1417" w:type="dxa"/>
          </w:tcPr>
          <w:p>
            <w:pPr>
              <w:pStyle w:val="0"/>
              <w:jc w:val="center"/>
            </w:pPr>
            <w:r>
              <w:rPr>
                <w:sz w:val="24"/>
              </w:rPr>
              <w:t xml:space="preserve">Заводской номер, идентификационный номер</w:t>
            </w:r>
          </w:p>
        </w:tc>
        <w:tc>
          <w:tcPr>
            <w:tcW w:w="1531" w:type="dxa"/>
          </w:tcPr>
          <w:p>
            <w:pPr>
              <w:pStyle w:val="0"/>
              <w:jc w:val="center"/>
            </w:pPr>
            <w:r>
              <w:rPr>
                <w:sz w:val="24"/>
              </w:rPr>
              <w:t xml:space="preserve">Степень потенциального биомеханического риска</w:t>
            </w:r>
          </w:p>
        </w:tc>
        <w:tc>
          <w:tcPr>
            <w:tcW w:w="1960" w:type="dxa"/>
          </w:tcPr>
          <w:p>
            <w:pPr>
              <w:pStyle w:val="0"/>
              <w:jc w:val="center"/>
            </w:pPr>
            <w:r>
              <w:rPr>
                <w:sz w:val="24"/>
              </w:rPr>
              <w:t xml:space="preserve">Государственный регистрационный знак (при наличии)</w:t>
            </w:r>
          </w:p>
        </w:tc>
        <w:tc>
          <w:tcPr>
            <w:tcW w:w="794" w:type="dxa"/>
          </w:tcPr>
          <w:p>
            <w:pPr>
              <w:pStyle w:val="0"/>
              <w:jc w:val="center"/>
            </w:pPr>
            <w:r>
              <w:rPr>
                <w:sz w:val="24"/>
              </w:rPr>
              <w:t xml:space="preserve">Нарушение</w:t>
            </w:r>
          </w:p>
        </w:tc>
      </w:tr>
      <w:tr>
        <w:tc>
          <w:tcPr>
            <w:tcW w:w="1420" w:type="dxa"/>
          </w:tcPr>
          <w:p>
            <w:pPr>
              <w:pStyle w:val="0"/>
            </w:pPr>
            <w:r>
              <w:rPr>
                <w:sz w:val="24"/>
              </w:rPr>
            </w:r>
          </w:p>
        </w:tc>
        <w:tc>
          <w:tcPr>
            <w:tcW w:w="964" w:type="dxa"/>
          </w:tcPr>
          <w:p>
            <w:pPr>
              <w:pStyle w:val="0"/>
            </w:pPr>
            <w:r>
              <w:rPr>
                <w:sz w:val="24"/>
              </w:rPr>
            </w:r>
          </w:p>
        </w:tc>
        <w:tc>
          <w:tcPr>
            <w:tcW w:w="964"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960" w:type="dxa"/>
          </w:tcPr>
          <w:p>
            <w:pPr>
              <w:pStyle w:val="0"/>
            </w:pPr>
            <w:r>
              <w:rPr>
                <w:sz w:val="24"/>
              </w:rPr>
            </w:r>
          </w:p>
        </w:tc>
        <w:tc>
          <w:tcPr>
            <w:tcW w:w="794" w:type="dxa"/>
          </w:tcPr>
          <w:p>
            <w:pPr>
              <w:pStyle w:val="0"/>
            </w:pPr>
            <w:r>
              <w:rPr>
                <w:sz w:val="24"/>
              </w:rPr>
            </w:r>
          </w:p>
        </w:tc>
      </w:tr>
      <w:tr>
        <w:tc>
          <w:tcPr>
            <w:tcW w:w="1420" w:type="dxa"/>
          </w:tcPr>
          <w:p>
            <w:pPr>
              <w:pStyle w:val="0"/>
            </w:pPr>
            <w:r>
              <w:rPr>
                <w:sz w:val="24"/>
              </w:rPr>
            </w:r>
          </w:p>
        </w:tc>
        <w:tc>
          <w:tcPr>
            <w:tcW w:w="964" w:type="dxa"/>
          </w:tcPr>
          <w:p>
            <w:pPr>
              <w:pStyle w:val="0"/>
            </w:pPr>
            <w:r>
              <w:rPr>
                <w:sz w:val="24"/>
              </w:rPr>
            </w:r>
          </w:p>
        </w:tc>
        <w:tc>
          <w:tcPr>
            <w:tcW w:w="964"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960" w:type="dxa"/>
          </w:tcPr>
          <w:p>
            <w:pPr>
              <w:pStyle w:val="0"/>
            </w:pPr>
            <w:r>
              <w:rPr>
                <w:sz w:val="24"/>
              </w:rPr>
            </w:r>
          </w:p>
        </w:tc>
        <w:tc>
          <w:tcPr>
            <w:tcW w:w="79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466"/>
        <w:gridCol w:w="3074"/>
        <w:gridCol w:w="340"/>
        <w:gridCol w:w="1195"/>
      </w:tblGrid>
      <w:tr>
        <w:tc>
          <w:tcPr>
            <w:tcW w:w="4466" w:type="dxa"/>
            <w:vAlign w:val="center"/>
            <w:tcBorders>
              <w:top w:val="nil"/>
              <w:left w:val="nil"/>
              <w:bottom w:val="nil"/>
              <w:right w:val="nil"/>
            </w:tcBorders>
          </w:tcPr>
          <w:p>
            <w:pPr>
              <w:pStyle w:val="0"/>
              <w:jc w:val="both"/>
            </w:pPr>
            <w:r>
              <w:rPr>
                <w:sz w:val="24"/>
              </w:rPr>
              <w:t xml:space="preserve">10. К протоколу прилагаются:</w:t>
            </w:r>
          </w:p>
        </w:tc>
        <w:tc>
          <w:tcPr>
            <w:gridSpan w:val="3"/>
            <w:tcW w:w="4609" w:type="dxa"/>
            <w:tcBorders>
              <w:top w:val="nil"/>
              <w:left w:val="nil"/>
              <w:bottom w:val="single" w:sz="4"/>
              <w:right w:val="nil"/>
            </w:tcBorders>
          </w:tcPr>
          <w:p>
            <w:pPr>
              <w:pStyle w:val="0"/>
            </w:pPr>
            <w:r>
              <w:rPr>
                <w:sz w:val="24"/>
              </w:rPr>
            </w:r>
          </w:p>
        </w:tc>
      </w:tr>
      <w:tr>
        <w:tc>
          <w:tcPr>
            <w:tcW w:w="4466" w:type="dxa"/>
            <w:tcBorders>
              <w:top w:val="nil"/>
              <w:left w:val="nil"/>
              <w:bottom w:val="nil"/>
              <w:right w:val="nil"/>
            </w:tcBorders>
          </w:tcPr>
          <w:p>
            <w:pPr>
              <w:pStyle w:val="0"/>
            </w:pPr>
            <w:r>
              <w:rPr>
                <w:sz w:val="24"/>
              </w:rPr>
            </w:r>
          </w:p>
        </w:tc>
        <w:tc>
          <w:tcPr>
            <w:gridSpan w:val="3"/>
            <w:tcW w:w="4609" w:type="dxa"/>
            <w:tcBorders>
              <w:top w:val="single" w:sz="4"/>
              <w:left w:val="nil"/>
              <w:bottom w:val="nil"/>
              <w:right w:val="nil"/>
            </w:tcBorders>
          </w:tcPr>
          <w:p>
            <w:pPr>
              <w:pStyle w:val="0"/>
              <w:jc w:val="center"/>
            </w:pPr>
            <w:r>
              <w:rPr>
                <w:sz w:val="24"/>
              </w:rPr>
              <w:t xml:space="preserve">(фото-, видеоматериалы, заявления, замечания,</w:t>
            </w:r>
          </w:p>
        </w:tc>
      </w:tr>
      <w:tr>
        <w:tc>
          <w:tcPr>
            <w:tcW w:w="4466" w:type="dxa"/>
            <w:tcBorders>
              <w:top w:val="nil"/>
              <w:left w:val="nil"/>
              <w:bottom w:val="single" w:sz="4"/>
              <w:right w:val="nil"/>
            </w:tcBorders>
          </w:tcPr>
          <w:p>
            <w:pPr>
              <w:pStyle w:val="0"/>
            </w:pPr>
            <w:r>
              <w:rPr>
                <w:sz w:val="24"/>
              </w:rPr>
            </w:r>
          </w:p>
        </w:tc>
        <w:tc>
          <w:tcPr>
            <w:gridSpan w:val="3"/>
            <w:tcW w:w="4609" w:type="dxa"/>
            <w:vAlign w:val="center"/>
            <w:tcBorders>
              <w:top w:val="nil"/>
              <w:left w:val="nil"/>
              <w:bottom w:val="nil"/>
              <w:right w:val="nil"/>
            </w:tcBorders>
          </w:tcPr>
          <w:p>
            <w:pPr>
              <w:pStyle w:val="0"/>
              <w:jc w:val="both"/>
            </w:pPr>
            <w:r>
              <w:rPr>
                <w:sz w:val="24"/>
              </w:rPr>
              <w:t xml:space="preserve">.</w:t>
            </w:r>
          </w:p>
        </w:tc>
      </w:tr>
      <w:tr>
        <w:tc>
          <w:tcPr>
            <w:tcW w:w="4466" w:type="dxa"/>
            <w:tcBorders>
              <w:top w:val="single" w:sz="4"/>
              <w:left w:val="nil"/>
              <w:bottom w:val="nil"/>
              <w:right w:val="nil"/>
            </w:tcBorders>
          </w:tcPr>
          <w:p>
            <w:pPr>
              <w:pStyle w:val="0"/>
              <w:jc w:val="center"/>
            </w:pPr>
            <w:r>
              <w:rPr>
                <w:sz w:val="24"/>
              </w:rPr>
              <w:t xml:space="preserve">поступившие от участвующих</w:t>
            </w:r>
          </w:p>
          <w:p>
            <w:pPr>
              <w:pStyle w:val="0"/>
              <w:jc w:val="center"/>
            </w:pPr>
            <w:r>
              <w:rPr>
                <w:sz w:val="24"/>
              </w:rPr>
              <w:t xml:space="preserve">в осмотре лиц)</w:t>
            </w:r>
          </w:p>
        </w:tc>
        <w:tc>
          <w:tcPr>
            <w:gridSpan w:val="3"/>
            <w:tcW w:w="4609" w:type="dxa"/>
            <w:tcBorders>
              <w:top w:val="nil"/>
              <w:left w:val="nil"/>
              <w:bottom w:val="nil"/>
              <w:right w:val="nil"/>
            </w:tcBorders>
          </w:tcPr>
          <w:p>
            <w:pPr>
              <w:pStyle w:val="0"/>
            </w:pPr>
            <w:r>
              <w:rPr>
                <w:sz w:val="24"/>
              </w:rPr>
            </w:r>
          </w:p>
        </w:tc>
      </w:tr>
      <w:tr>
        <w:tc>
          <w:tcPr>
            <w:gridSpan w:val="2"/>
            <w:tcW w:w="754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195" w:type="dxa"/>
            <w:tcBorders>
              <w:top w:val="nil"/>
              <w:left w:val="nil"/>
              <w:bottom w:val="single" w:sz="4"/>
              <w:right w:val="nil"/>
            </w:tcBorders>
          </w:tcPr>
          <w:p>
            <w:pPr>
              <w:pStyle w:val="0"/>
            </w:pPr>
            <w:r>
              <w:rPr>
                <w:sz w:val="24"/>
              </w:rPr>
            </w:r>
          </w:p>
        </w:tc>
      </w:tr>
      <w:tr>
        <w:tc>
          <w:tcPr>
            <w:gridSpan w:val="2"/>
            <w:tcW w:w="7540"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tc>
        <w:tc>
          <w:tcPr>
            <w:tcW w:w="340" w:type="dxa"/>
            <w:tcBorders>
              <w:top w:val="nil"/>
              <w:left w:val="nil"/>
              <w:bottom w:val="nil"/>
              <w:right w:val="nil"/>
            </w:tcBorders>
          </w:tcPr>
          <w:p>
            <w:pPr>
              <w:pStyle w:val="0"/>
            </w:pPr>
            <w:r>
              <w:rPr>
                <w:sz w:val="24"/>
              </w:rPr>
            </w:r>
          </w:p>
        </w:tc>
        <w:tc>
          <w:tcPr>
            <w:tcW w:w="1195" w:type="dxa"/>
            <w:tcBorders>
              <w:top w:val="single" w:sz="4"/>
              <w:left w:val="nil"/>
              <w:bottom w:val="nil"/>
              <w:right w:val="nil"/>
            </w:tcBorders>
          </w:tcPr>
          <w:p>
            <w:pPr>
              <w:pStyle w:val="0"/>
              <w:jc w:val="center"/>
            </w:pPr>
            <w:r>
              <w:rPr>
                <w:sz w:val="24"/>
              </w:rPr>
              <w:t xml:space="preserve">(подпись)</w:t>
            </w:r>
          </w:p>
        </w:tc>
      </w:tr>
      <w:tr>
        <w:tc>
          <w:tcPr>
            <w:gridSpan w:val="2"/>
            <w:tcW w:w="7540"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1195"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Положению о региональном государственном</w:t>
      </w:r>
    </w:p>
    <w:p>
      <w:pPr>
        <w:pStyle w:val="0"/>
        <w:jc w:val="right"/>
      </w:pPr>
      <w:r>
        <w:rPr>
          <w:sz w:val="24"/>
        </w:rPr>
        <w:t xml:space="preserve">контроле (надзоре) в области технического</w:t>
      </w:r>
    </w:p>
    <w:p>
      <w:pPr>
        <w:pStyle w:val="0"/>
        <w:jc w:val="right"/>
      </w:pPr>
      <w:r>
        <w:rPr>
          <w:sz w:val="24"/>
        </w:rPr>
        <w:t xml:space="preserve">состояния и эксплуатации аттракционов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1660"/>
        <w:gridCol w:w="340"/>
        <w:gridCol w:w="1144"/>
        <w:gridCol w:w="340"/>
        <w:gridCol w:w="761"/>
        <w:gridCol w:w="1560"/>
        <w:gridCol w:w="1644"/>
        <w:gridCol w:w="431"/>
        <w:gridCol w:w="340"/>
        <w:gridCol w:w="850"/>
      </w:tblGrid>
      <w:tr>
        <w:tblPrEx>
          <w:tblBorders>
            <w:insideH w:val="single" w:sz="4"/>
          </w:tblBorders>
        </w:tblPrEx>
        <w:tc>
          <w:tcPr>
            <w:gridSpan w:val="8"/>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50" w:type="dxa"/>
            <w:tcBorders>
              <w:top w:val="nil"/>
              <w:left w:val="nil"/>
              <w:bottom w:val="single" w:sz="4"/>
              <w:right w:val="nil"/>
            </w:tcBorders>
          </w:tcPr>
          <w:p>
            <w:pPr>
              <w:pStyle w:val="0"/>
            </w:pPr>
            <w:r>
              <w:rPr>
                <w:sz w:val="24"/>
              </w:rPr>
            </w:r>
          </w:p>
        </w:tc>
      </w:tr>
      <w:tr>
        <w:tc>
          <w:tcPr>
            <w:gridSpan w:val="8"/>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50" w:type="dxa"/>
            <w:tcBorders>
              <w:top w:val="single" w:sz="4"/>
              <w:left w:val="nil"/>
              <w:bottom w:val="nil"/>
              <w:right w:val="nil"/>
            </w:tcBorders>
          </w:tcPr>
          <w:p>
            <w:pPr>
              <w:pStyle w:val="0"/>
              <w:jc w:val="center"/>
            </w:pPr>
            <w:r>
              <w:rPr>
                <w:sz w:val="24"/>
              </w:rPr>
              <w:t xml:space="preserve">(дата)</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аттракционов, номер телефона, электронный адрес)</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(место составления)</w:t>
            </w:r>
          </w:p>
        </w:tc>
      </w:tr>
      <w:tr>
        <w:tc>
          <w:tcPr>
            <w:gridSpan w:val="10"/>
            <w:tcW w:w="9070" w:type="dxa"/>
            <w:tcBorders>
              <w:top w:val="nil"/>
              <w:left w:val="nil"/>
              <w:bottom w:val="nil"/>
              <w:right w:val="nil"/>
            </w:tcBorders>
          </w:tcPr>
          <w:p>
            <w:pPr>
              <w:pStyle w:val="0"/>
              <w:jc w:val="center"/>
            </w:pPr>
            <w:r>
              <w:rPr>
                <w:sz w:val="24"/>
              </w:rPr>
              <w:t xml:space="preserve">ПРОТОКОЛ ОПРОСА</w:t>
            </w:r>
          </w:p>
        </w:tc>
      </w:tr>
      <w:tr>
        <w:tc>
          <w:tcPr>
            <w:gridSpan w:val="10"/>
            <w:tcW w:w="9070" w:type="dxa"/>
            <w:tcBorders>
              <w:top w:val="nil"/>
              <w:left w:val="nil"/>
              <w:bottom w:val="nil"/>
              <w:right w:val="nil"/>
            </w:tcBorders>
          </w:tcPr>
          <w:p>
            <w:pPr>
              <w:pStyle w:val="0"/>
              <w:jc w:val="both"/>
            </w:pPr>
            <w:r>
              <w:rPr>
                <w:sz w:val="24"/>
              </w:rPr>
              <w:t xml:space="preserve">1. Опрос начат: "__" ___________ 20__ г. в "__" часов "__" минут.</w:t>
            </w:r>
          </w:p>
        </w:tc>
      </w:tr>
      <w:tr>
        <w:tc>
          <w:tcPr>
            <w:gridSpan w:val="10"/>
            <w:tcW w:w="9070" w:type="dxa"/>
            <w:tcBorders>
              <w:top w:val="nil"/>
              <w:left w:val="nil"/>
              <w:bottom w:val="nil"/>
              <w:right w:val="nil"/>
            </w:tcBorders>
          </w:tcPr>
          <w:p>
            <w:pPr>
              <w:pStyle w:val="0"/>
              <w:jc w:val="both"/>
            </w:pPr>
            <w:r>
              <w:rPr>
                <w:sz w:val="24"/>
              </w:rPr>
              <w:t xml:space="preserve">2. Опрос окончен: "__" ___________ 20__ г. в "__" часов "__" минут.</w:t>
            </w:r>
          </w:p>
        </w:tc>
      </w:tr>
      <w:tr>
        <w:tc>
          <w:tcPr>
            <w:gridSpan w:val="5"/>
            <w:tcW w:w="4245" w:type="dxa"/>
            <w:vAlign w:val="center"/>
            <w:tcBorders>
              <w:top w:val="nil"/>
              <w:left w:val="nil"/>
              <w:bottom w:val="nil"/>
              <w:right w:val="nil"/>
            </w:tcBorders>
          </w:tcPr>
          <w:p>
            <w:pPr>
              <w:pStyle w:val="0"/>
            </w:pPr>
            <w:r>
              <w:rPr>
                <w:sz w:val="24"/>
              </w:rPr>
              <w:t xml:space="preserve">3. Опрос произведен при проведении:</w:t>
            </w:r>
          </w:p>
        </w:tc>
        <w:tc>
          <w:tcPr>
            <w:gridSpan w:val="5"/>
            <w:tcW w:w="4825" w:type="dxa"/>
            <w:tcBorders>
              <w:top w:val="nil"/>
              <w:left w:val="nil"/>
              <w:bottom w:val="single" w:sz="4"/>
              <w:right w:val="nil"/>
            </w:tcBorders>
          </w:tcPr>
          <w:p>
            <w:pPr>
              <w:pStyle w:val="0"/>
            </w:pPr>
            <w:r>
              <w:rPr>
                <w:sz w:val="24"/>
              </w:rPr>
            </w:r>
          </w:p>
        </w:tc>
      </w:tr>
      <w:tr>
        <w:tc>
          <w:tcPr>
            <w:gridSpan w:val="5"/>
            <w:tcW w:w="4245" w:type="dxa"/>
            <w:tcBorders>
              <w:top w:val="nil"/>
              <w:left w:val="nil"/>
              <w:bottom w:val="nil"/>
              <w:right w:val="nil"/>
            </w:tcBorders>
          </w:tcPr>
          <w:p>
            <w:pPr>
              <w:pStyle w:val="0"/>
            </w:pPr>
            <w:r>
              <w:rPr>
                <w:sz w:val="24"/>
              </w:rPr>
            </w:r>
          </w:p>
        </w:tc>
        <w:tc>
          <w:tcPr>
            <w:gridSpan w:val="5"/>
            <w:tcW w:w="4825" w:type="dxa"/>
            <w:tcBorders>
              <w:top w:val="single" w:sz="4"/>
              <w:left w:val="nil"/>
              <w:bottom w:val="nil"/>
              <w:right w:val="nil"/>
            </w:tcBorders>
          </w:tcPr>
          <w:p>
            <w:pPr>
              <w:pStyle w:val="0"/>
              <w:jc w:val="center"/>
            </w:pPr>
            <w:r>
              <w:rPr>
                <w:sz w:val="24"/>
              </w:rPr>
              <w:t xml:space="preserve">(указывается вид контрольного (надзорного)</w:t>
            </w:r>
          </w:p>
        </w:tc>
      </w:tr>
      <w:tr>
        <w:tc>
          <w:tcPr>
            <w:gridSpan w:val="6"/>
            <w:tcW w:w="5805" w:type="dxa"/>
            <w:tcBorders>
              <w:top w:val="nil"/>
              <w:left w:val="nil"/>
              <w:bottom w:val="single" w:sz="4"/>
              <w:right w:val="nil"/>
            </w:tcBorders>
          </w:tcPr>
          <w:p>
            <w:pPr>
              <w:pStyle w:val="0"/>
            </w:pPr>
            <w:r>
              <w:rPr>
                <w:sz w:val="24"/>
              </w:rPr>
            </w:r>
          </w:p>
        </w:tc>
        <w:tc>
          <w:tcPr>
            <w:gridSpan w:val="4"/>
            <w:tcW w:w="3265" w:type="dxa"/>
            <w:vAlign w:val="center"/>
            <w:tcBorders>
              <w:top w:val="nil"/>
              <w:left w:val="nil"/>
              <w:bottom w:val="nil"/>
              <w:right w:val="nil"/>
            </w:tcBorders>
          </w:tcPr>
          <w:p>
            <w:pPr>
              <w:pStyle w:val="0"/>
              <w:jc w:val="both"/>
            </w:pPr>
            <w:r>
              <w:rPr>
                <w:sz w:val="24"/>
              </w:rPr>
              <w:t xml:space="preserve">.</w:t>
            </w:r>
          </w:p>
        </w:tc>
      </w:tr>
      <w:tr>
        <w:tc>
          <w:tcPr>
            <w:gridSpan w:val="6"/>
            <w:tcW w:w="5805" w:type="dxa"/>
            <w:tcBorders>
              <w:top w:val="single" w:sz="4"/>
              <w:left w:val="nil"/>
              <w:bottom w:val="nil"/>
              <w:right w:val="nil"/>
            </w:tcBorders>
          </w:tcPr>
          <w:p>
            <w:pPr>
              <w:pStyle w:val="0"/>
              <w:jc w:val="center"/>
            </w:pPr>
            <w:r>
              <w:rPr>
                <w:sz w:val="24"/>
              </w:rPr>
              <w:t xml:space="preserve">мероприятия)</w:t>
            </w:r>
          </w:p>
        </w:tc>
        <w:tc>
          <w:tcPr>
            <w:gridSpan w:val="4"/>
            <w:tcW w:w="3265" w:type="dxa"/>
            <w:tcBorders>
              <w:top w:val="nil"/>
              <w:left w:val="nil"/>
              <w:bottom w:val="nil"/>
              <w:right w:val="nil"/>
            </w:tcBorders>
          </w:tcPr>
          <w:p>
            <w:pPr>
              <w:pStyle w:val="0"/>
            </w:pPr>
            <w:r>
              <w:rPr>
                <w:sz w:val="24"/>
              </w:rPr>
            </w:r>
          </w:p>
        </w:tc>
      </w:tr>
      <w:tr>
        <w:tc>
          <w:tcPr>
            <w:gridSpan w:val="5"/>
            <w:tcW w:w="4245" w:type="dxa"/>
            <w:vAlign w:val="center"/>
            <w:tcBorders>
              <w:top w:val="nil"/>
              <w:left w:val="nil"/>
              <w:bottom w:val="nil"/>
              <w:right w:val="nil"/>
            </w:tcBorders>
          </w:tcPr>
          <w:p>
            <w:pPr>
              <w:pStyle w:val="0"/>
            </w:pPr>
            <w:r>
              <w:rPr>
                <w:sz w:val="24"/>
              </w:rPr>
              <w:t xml:space="preserve">4. Опрос произведен на основании:</w:t>
            </w:r>
          </w:p>
        </w:tc>
        <w:tc>
          <w:tcPr>
            <w:gridSpan w:val="5"/>
            <w:tcW w:w="4825" w:type="dxa"/>
            <w:tcBorders>
              <w:top w:val="nil"/>
              <w:left w:val="nil"/>
              <w:bottom w:val="single" w:sz="4"/>
              <w:right w:val="nil"/>
            </w:tcBorders>
          </w:tcPr>
          <w:p>
            <w:pPr>
              <w:pStyle w:val="0"/>
            </w:pPr>
            <w:r>
              <w:rPr>
                <w:sz w:val="24"/>
              </w:rPr>
            </w:r>
          </w:p>
        </w:tc>
      </w:tr>
      <w:tr>
        <w:tc>
          <w:tcPr>
            <w:gridSpan w:val="5"/>
            <w:tcW w:w="4245" w:type="dxa"/>
            <w:tcBorders>
              <w:top w:val="nil"/>
              <w:left w:val="nil"/>
              <w:bottom w:val="nil"/>
              <w:right w:val="nil"/>
            </w:tcBorders>
          </w:tcPr>
          <w:p>
            <w:pPr>
              <w:pStyle w:val="0"/>
            </w:pPr>
            <w:r>
              <w:rPr>
                <w:sz w:val="24"/>
              </w:rPr>
            </w:r>
          </w:p>
        </w:tc>
        <w:tc>
          <w:tcPr>
            <w:gridSpan w:val="5"/>
            <w:tcW w:w="4825"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контрольного (надзорного) мероприятия)</w:t>
            </w:r>
          </w:p>
        </w:tc>
      </w:tr>
      <w:tr>
        <w:tc>
          <w:tcPr>
            <w:gridSpan w:val="6"/>
            <w:tcW w:w="5805" w:type="dxa"/>
            <w:tcBorders>
              <w:top w:val="nil"/>
              <w:left w:val="nil"/>
              <w:bottom w:val="single" w:sz="4"/>
              <w:right w:val="nil"/>
            </w:tcBorders>
          </w:tcPr>
          <w:p>
            <w:pPr>
              <w:pStyle w:val="0"/>
            </w:pPr>
            <w:r>
              <w:rPr>
                <w:sz w:val="24"/>
              </w:rPr>
            </w:r>
          </w:p>
        </w:tc>
        <w:tc>
          <w:tcPr>
            <w:gridSpan w:val="4"/>
            <w:tcW w:w="3265" w:type="dxa"/>
            <w:vAlign w:val="center"/>
            <w:tcBorders>
              <w:top w:val="nil"/>
              <w:left w:val="nil"/>
              <w:bottom w:val="nil"/>
              <w:right w:val="nil"/>
            </w:tcBorders>
          </w:tcPr>
          <w:p>
            <w:pPr>
              <w:pStyle w:val="0"/>
              <w:jc w:val="both"/>
            </w:pPr>
            <w:r>
              <w:rPr>
                <w:sz w:val="24"/>
              </w:rPr>
              <w:t xml:space="preserve">.</w:t>
            </w:r>
          </w:p>
        </w:tc>
      </w:tr>
      <w:tr>
        <w:tc>
          <w:tcPr>
            <w:gridSpan w:val="6"/>
            <w:tcW w:w="5805" w:type="dxa"/>
            <w:tcBorders>
              <w:top w:val="single" w:sz="4"/>
              <w:left w:val="nil"/>
              <w:bottom w:val="nil"/>
              <w:right w:val="nil"/>
            </w:tcBorders>
          </w:tcPr>
          <w:p>
            <w:pPr>
              <w:pStyle w:val="0"/>
            </w:pPr>
            <w:r>
              <w:rPr>
                <w:sz w:val="24"/>
              </w:rPr>
            </w:r>
          </w:p>
        </w:tc>
        <w:tc>
          <w:tcPr>
            <w:gridSpan w:val="4"/>
            <w:tcW w:w="3265" w:type="dxa"/>
            <w:tcBorders>
              <w:top w:val="nil"/>
              <w:left w:val="nil"/>
              <w:bottom w:val="nil"/>
              <w:right w:val="nil"/>
            </w:tcBorders>
          </w:tcPr>
          <w:p>
            <w:pPr>
              <w:pStyle w:val="0"/>
            </w:pPr>
            <w:r>
              <w:rPr>
                <w:sz w:val="24"/>
              </w:rPr>
            </w:r>
          </w:p>
        </w:tc>
      </w:tr>
      <w:tr>
        <w:tc>
          <w:tcPr>
            <w:gridSpan w:val="10"/>
            <w:tcW w:w="9070" w:type="dxa"/>
            <w:tcBorders>
              <w:top w:val="nil"/>
              <w:left w:val="nil"/>
              <w:bottom w:val="nil"/>
              <w:right w:val="nil"/>
            </w:tcBorders>
          </w:tcPr>
          <w:p>
            <w:pPr>
              <w:pStyle w:val="0"/>
              <w:jc w:val="both"/>
            </w:pPr>
            <w:r>
              <w:rPr>
                <w:sz w:val="24"/>
              </w:rPr>
              <w:t xml:space="preserve">5. В соответствии со </w:t>
            </w:r>
            <w:hyperlink w:history="0" r:id="rId5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78</w:t>
              </w:r>
            </w:hyperlink>
            <w:r>
              <w:rPr>
                <w:sz w:val="24"/>
              </w:rPr>
              <w:t xml:space="preserve"> Федерального закона "О государственном контроле (надзоре) и муниципальном контроле в Российской Федерации" проведен опрос в отношении: _______________________________________________________________</w:t>
            </w:r>
          </w:p>
          <w:p>
            <w:pPr>
              <w:pStyle w:val="0"/>
              <w:jc w:val="center"/>
            </w:pPr>
            <w:r>
              <w:rPr>
                <w:sz w:val="24"/>
              </w:rPr>
              <w:t xml:space="preserve">(указываются фамилия, имя, отчество (при наличии)</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руководителя юридического лица или иного должностного лица,</w:t>
            </w:r>
          </w:p>
        </w:tc>
      </w:tr>
      <w:tr>
        <w:tc>
          <w:tcPr>
            <w:gridSpan w:val="6"/>
            <w:tcW w:w="5805" w:type="dxa"/>
            <w:tcBorders>
              <w:top w:val="nil"/>
              <w:left w:val="nil"/>
              <w:bottom w:val="single" w:sz="4"/>
              <w:right w:val="nil"/>
            </w:tcBorders>
          </w:tcPr>
          <w:p>
            <w:pPr>
              <w:pStyle w:val="0"/>
            </w:pPr>
            <w:r>
              <w:rPr>
                <w:sz w:val="24"/>
              </w:rPr>
            </w:r>
          </w:p>
        </w:tc>
        <w:tc>
          <w:tcPr>
            <w:gridSpan w:val="4"/>
            <w:tcW w:w="3265" w:type="dxa"/>
            <w:vAlign w:val="center"/>
            <w:tcBorders>
              <w:top w:val="nil"/>
              <w:left w:val="nil"/>
              <w:bottom w:val="nil"/>
              <w:right w:val="nil"/>
            </w:tcBorders>
          </w:tcPr>
          <w:p>
            <w:pPr>
              <w:pStyle w:val="0"/>
              <w:jc w:val="both"/>
            </w:pPr>
            <w:r>
              <w:rPr>
                <w:sz w:val="24"/>
              </w:rPr>
              <w:t xml:space="preserve">.</w:t>
            </w:r>
          </w:p>
        </w:tc>
      </w:tr>
      <w:tr>
        <w:tc>
          <w:tcPr>
            <w:gridSpan w:val="6"/>
            <w:tcW w:w="5805" w:type="dxa"/>
            <w:tcBorders>
              <w:top w:val="single" w:sz="4"/>
              <w:left w:val="nil"/>
              <w:bottom w:val="nil"/>
              <w:right w:val="nil"/>
            </w:tcBorders>
          </w:tcPr>
          <w:p>
            <w:pPr>
              <w:pStyle w:val="0"/>
              <w:jc w:val="center"/>
            </w:pPr>
            <w:r>
              <w:rPr>
                <w:sz w:val="24"/>
              </w:rPr>
              <w:t xml:space="preserve">индивидуального предпринимателя, их уполномоченных представителей)</w:t>
            </w:r>
          </w:p>
        </w:tc>
        <w:tc>
          <w:tcPr>
            <w:gridSpan w:val="4"/>
            <w:tcW w:w="3265" w:type="dxa"/>
            <w:tcBorders>
              <w:top w:val="nil"/>
              <w:left w:val="nil"/>
              <w:bottom w:val="nil"/>
              <w:right w:val="nil"/>
            </w:tcBorders>
          </w:tcPr>
          <w:p>
            <w:pPr>
              <w:pStyle w:val="0"/>
            </w:pPr>
            <w:r>
              <w:rPr>
                <w:sz w:val="24"/>
              </w:rPr>
            </w:r>
          </w:p>
        </w:tc>
      </w:tr>
      <w:tr>
        <w:tc>
          <w:tcPr>
            <w:gridSpan w:val="5"/>
            <w:tcW w:w="4245" w:type="dxa"/>
            <w:vAlign w:val="center"/>
            <w:tcBorders>
              <w:top w:val="nil"/>
              <w:left w:val="nil"/>
              <w:bottom w:val="nil"/>
              <w:right w:val="nil"/>
            </w:tcBorders>
          </w:tcPr>
          <w:p>
            <w:pPr>
              <w:pStyle w:val="0"/>
              <w:jc w:val="both"/>
            </w:pPr>
            <w:r>
              <w:rPr>
                <w:sz w:val="24"/>
              </w:rPr>
              <w:t xml:space="preserve">6. Результаты опроса:</w:t>
            </w:r>
          </w:p>
        </w:tc>
        <w:tc>
          <w:tcPr>
            <w:tcW w:w="1560" w:type="dxa"/>
            <w:tcBorders>
              <w:top w:val="nil"/>
              <w:left w:val="nil"/>
              <w:bottom w:val="single" w:sz="4"/>
              <w:right w:val="nil"/>
            </w:tcBorders>
          </w:tcPr>
          <w:p>
            <w:pPr>
              <w:pStyle w:val="0"/>
            </w:pPr>
            <w:r>
              <w:rPr>
                <w:sz w:val="24"/>
              </w:rPr>
            </w:r>
          </w:p>
        </w:tc>
        <w:tc>
          <w:tcPr>
            <w:gridSpan w:val="4"/>
            <w:tcW w:w="3265" w:type="dxa"/>
            <w:vAlign w:val="center"/>
            <w:tcBorders>
              <w:top w:val="nil"/>
              <w:left w:val="nil"/>
              <w:bottom w:val="nil"/>
              <w:right w:val="nil"/>
            </w:tcBorders>
          </w:tcPr>
          <w:p>
            <w:pPr>
              <w:pStyle w:val="0"/>
              <w:jc w:val="both"/>
            </w:pPr>
            <w:r>
              <w:rPr>
                <w:sz w:val="24"/>
              </w:rPr>
              <w:t xml:space="preserve">.</w:t>
            </w:r>
          </w:p>
        </w:tc>
      </w:tr>
      <w:tr>
        <w:tc>
          <w:tcPr>
            <w:gridSpan w:val="5"/>
            <w:tcW w:w="4245" w:type="dxa"/>
            <w:tcBorders>
              <w:top w:val="nil"/>
              <w:left w:val="nil"/>
              <w:bottom w:val="nil"/>
              <w:right w:val="nil"/>
            </w:tcBorders>
          </w:tcPr>
          <w:p>
            <w:pPr>
              <w:pStyle w:val="0"/>
            </w:pPr>
            <w:r>
              <w:rPr>
                <w:sz w:val="24"/>
              </w:rPr>
            </w:r>
          </w:p>
        </w:tc>
        <w:tc>
          <w:tcPr>
            <w:tcW w:w="1560" w:type="dxa"/>
            <w:tcBorders>
              <w:top w:val="single" w:sz="4"/>
              <w:left w:val="nil"/>
              <w:bottom w:val="nil"/>
              <w:right w:val="nil"/>
            </w:tcBorders>
          </w:tcPr>
          <w:p>
            <w:pPr>
              <w:pStyle w:val="0"/>
              <w:jc w:val="center"/>
            </w:pPr>
            <w:r>
              <w:rPr>
                <w:sz w:val="24"/>
              </w:rPr>
              <w:t xml:space="preserve">(указываются сведения, полученные в ходе проведения опроса)</w:t>
            </w:r>
          </w:p>
        </w:tc>
        <w:tc>
          <w:tcPr>
            <w:gridSpan w:val="4"/>
            <w:tcW w:w="3265" w:type="dxa"/>
            <w:tcBorders>
              <w:top w:val="nil"/>
              <w:left w:val="nil"/>
              <w:bottom w:val="nil"/>
              <w:right w:val="nil"/>
            </w:tcBorders>
          </w:tcPr>
          <w:p>
            <w:pPr>
              <w:pStyle w:val="0"/>
            </w:pPr>
            <w:r>
              <w:rPr>
                <w:sz w:val="24"/>
              </w:rPr>
            </w:r>
          </w:p>
        </w:tc>
      </w:tr>
      <w:tr>
        <w:tc>
          <w:tcPr>
            <w:tcW w:w="1660" w:type="dxa"/>
            <w:tcBorders>
              <w:top w:val="nil"/>
              <w:left w:val="nil"/>
              <w:bottom w:val="nil"/>
              <w:right w:val="nil"/>
            </w:tcBorders>
            <w:vMerge w:val="restart"/>
          </w:tcPr>
          <w:p>
            <w:pPr>
              <w:pStyle w:val="0"/>
            </w:pPr>
            <w:r>
              <w:rPr>
                <w:sz w:val="24"/>
              </w:rPr>
              <w:t xml:space="preserve">Достоверность изложенных сведений подтверждаю</w:t>
            </w:r>
          </w:p>
        </w:tc>
        <w:tc>
          <w:tcPr>
            <w:tcW w:w="340" w:type="dxa"/>
            <w:tcBorders>
              <w:top w:val="nil"/>
              <w:left w:val="nil"/>
              <w:bottom w:val="nil"/>
              <w:right w:val="nil"/>
            </w:tcBorders>
          </w:tcPr>
          <w:p>
            <w:pPr>
              <w:pStyle w:val="0"/>
            </w:pPr>
            <w:r>
              <w:rPr>
                <w:sz w:val="24"/>
              </w:rPr>
            </w:r>
          </w:p>
        </w:tc>
        <w:tc>
          <w:tcPr>
            <w:tcW w:w="1144"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6"/>
            <w:tcW w:w="5586"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4"/>
              </w:rPr>
            </w:r>
          </w:p>
        </w:tc>
        <w:tc>
          <w:tcPr>
            <w:tcW w:w="1144"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gridSpan w:val="6"/>
            <w:tcW w:w="5586" w:type="dxa"/>
            <w:tcBorders>
              <w:top w:val="single" w:sz="4"/>
              <w:left w:val="nil"/>
              <w:bottom w:val="nil"/>
              <w:right w:val="nil"/>
            </w:tcBorders>
          </w:tcPr>
          <w:p>
            <w:pPr>
              <w:pStyle w:val="0"/>
              <w:jc w:val="center"/>
            </w:pPr>
            <w:r>
              <w:rPr>
                <w:sz w:val="24"/>
              </w:rPr>
              <w:t xml:space="preserve">(фамилия, имя, отчество (при наличии) руководителя юридического лица или иного должностного лица, индивидуального предпринимателя, их уполномоченных представителей)</w:t>
            </w:r>
          </w:p>
        </w:tc>
      </w:tr>
      <w:tr>
        <w:tc>
          <w:tcPr>
            <w:gridSpan w:val="10"/>
            <w:tcW w:w="9070" w:type="dxa"/>
            <w:tcBorders>
              <w:top w:val="nil"/>
              <w:left w:val="nil"/>
              <w:bottom w:val="nil"/>
              <w:right w:val="nil"/>
            </w:tcBorders>
          </w:tcPr>
          <w:p>
            <w:pPr>
              <w:pStyle w:val="0"/>
              <w:jc w:val="both"/>
            </w:pPr>
            <w:r>
              <w:rPr>
                <w:sz w:val="24"/>
              </w:rPr>
              <w:t xml:space="preserve">МП (при наличии)</w:t>
            </w:r>
          </w:p>
        </w:tc>
      </w:tr>
      <w:tr>
        <w:tc>
          <w:tcPr>
            <w:gridSpan w:val="7"/>
            <w:tcW w:w="7449" w:type="dxa"/>
            <w:tcBorders>
              <w:top w:val="nil"/>
              <w:left w:val="nil"/>
              <w:bottom w:val="single" w:sz="4"/>
              <w:right w:val="nil"/>
            </w:tcBorders>
          </w:tcPr>
          <w:p>
            <w:pPr>
              <w:pStyle w:val="0"/>
            </w:pPr>
            <w:r>
              <w:rPr>
                <w:sz w:val="24"/>
              </w:rPr>
            </w:r>
          </w:p>
        </w:tc>
        <w:tc>
          <w:tcPr>
            <w:tcW w:w="431" w:type="dxa"/>
            <w:tcBorders>
              <w:top w:val="nil"/>
              <w:left w:val="nil"/>
              <w:bottom w:val="nil"/>
              <w:right w:val="nil"/>
            </w:tcBorders>
          </w:tcPr>
          <w:p>
            <w:pPr>
              <w:pStyle w:val="0"/>
            </w:pPr>
            <w:r>
              <w:rPr>
                <w:sz w:val="24"/>
              </w:rPr>
            </w:r>
          </w:p>
        </w:tc>
        <w:tc>
          <w:tcPr>
            <w:gridSpan w:val="2"/>
            <w:tcW w:w="1190" w:type="dxa"/>
            <w:tcBorders>
              <w:top w:val="nil"/>
              <w:left w:val="nil"/>
              <w:bottom w:val="single" w:sz="4"/>
              <w:right w:val="nil"/>
            </w:tcBorders>
          </w:tcPr>
          <w:p>
            <w:pPr>
              <w:pStyle w:val="0"/>
            </w:pPr>
            <w:r>
              <w:rPr>
                <w:sz w:val="24"/>
              </w:rPr>
            </w:r>
          </w:p>
        </w:tc>
      </w:tr>
      <w:tr>
        <w:tc>
          <w:tcPr>
            <w:gridSpan w:val="7"/>
            <w:tcW w:w="7449"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аттракционов)</w:t>
            </w:r>
          </w:p>
        </w:tc>
        <w:tc>
          <w:tcPr>
            <w:tcW w:w="431" w:type="dxa"/>
            <w:tcBorders>
              <w:top w:val="nil"/>
              <w:left w:val="nil"/>
              <w:bottom w:val="nil"/>
              <w:right w:val="nil"/>
            </w:tcBorders>
          </w:tcPr>
          <w:p>
            <w:pPr>
              <w:pStyle w:val="0"/>
            </w:pPr>
            <w:r>
              <w:rPr>
                <w:sz w:val="24"/>
              </w:rPr>
            </w:r>
          </w:p>
        </w:tc>
        <w:tc>
          <w:tcPr>
            <w:gridSpan w:val="2"/>
            <w:tcW w:w="1190" w:type="dxa"/>
            <w:tcBorders>
              <w:top w:val="single" w:sz="4"/>
              <w:left w:val="nil"/>
              <w:bottom w:val="nil"/>
              <w:right w:val="nil"/>
            </w:tcBorders>
          </w:tcPr>
          <w:p>
            <w:pPr>
              <w:pStyle w:val="0"/>
              <w:jc w:val="center"/>
            </w:pPr>
            <w:r>
              <w:rPr>
                <w:sz w:val="24"/>
              </w:rPr>
              <w:t xml:space="preserve">(подпись)</w:t>
            </w:r>
          </w:p>
        </w:tc>
      </w:tr>
      <w:tr>
        <w:tc>
          <w:tcPr>
            <w:gridSpan w:val="7"/>
            <w:tcW w:w="7449" w:type="dxa"/>
            <w:tcBorders>
              <w:top w:val="nil"/>
              <w:left w:val="nil"/>
              <w:bottom w:val="nil"/>
              <w:right w:val="nil"/>
            </w:tcBorders>
          </w:tcPr>
          <w:p>
            <w:pPr>
              <w:pStyle w:val="0"/>
            </w:pPr>
            <w:r>
              <w:rPr>
                <w:sz w:val="24"/>
              </w:rPr>
              <w:t xml:space="preserve">МП</w:t>
            </w:r>
          </w:p>
        </w:tc>
        <w:tc>
          <w:tcPr>
            <w:tcW w:w="431" w:type="dxa"/>
            <w:tcBorders>
              <w:top w:val="nil"/>
              <w:left w:val="nil"/>
              <w:bottom w:val="nil"/>
              <w:right w:val="nil"/>
            </w:tcBorders>
          </w:tcPr>
          <w:p>
            <w:pPr>
              <w:pStyle w:val="0"/>
            </w:pPr>
            <w:r>
              <w:rPr>
                <w:sz w:val="24"/>
              </w:rPr>
            </w:r>
          </w:p>
        </w:tc>
        <w:tc>
          <w:tcPr>
            <w:gridSpan w:val="2"/>
            <w:tcW w:w="1190"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Положению о региональном государственном</w:t>
      </w:r>
    </w:p>
    <w:p>
      <w:pPr>
        <w:pStyle w:val="0"/>
        <w:jc w:val="right"/>
      </w:pPr>
      <w:r>
        <w:rPr>
          <w:sz w:val="24"/>
        </w:rPr>
        <w:t xml:space="preserve">контроле (надзоре) в области технического</w:t>
      </w:r>
    </w:p>
    <w:p>
      <w:pPr>
        <w:pStyle w:val="0"/>
        <w:jc w:val="right"/>
      </w:pPr>
      <w:r>
        <w:rPr>
          <w:sz w:val="24"/>
        </w:rPr>
        <w:t xml:space="preserve">состояния и эксплуатации аттракционов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2675"/>
        <w:gridCol w:w="340"/>
        <w:gridCol w:w="907"/>
        <w:gridCol w:w="759"/>
        <w:gridCol w:w="624"/>
        <w:gridCol w:w="2041"/>
        <w:gridCol w:w="534"/>
        <w:gridCol w:w="340"/>
        <w:gridCol w:w="340"/>
        <w:gridCol w:w="510"/>
      </w:tblGrid>
      <w:tr>
        <w:tblPrEx>
          <w:tblBorders>
            <w:insideH w:val="single" w:sz="4"/>
          </w:tblBorders>
        </w:tblPrEx>
        <w:tc>
          <w:tcPr>
            <w:gridSpan w:val="7"/>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850" w:type="dxa"/>
            <w:tcBorders>
              <w:top w:val="nil"/>
              <w:left w:val="nil"/>
              <w:bottom w:val="single" w:sz="4"/>
              <w:right w:val="nil"/>
            </w:tcBorders>
          </w:tcPr>
          <w:p>
            <w:pPr>
              <w:pStyle w:val="0"/>
            </w:pPr>
            <w:r>
              <w:rPr>
                <w:sz w:val="24"/>
              </w:rPr>
            </w:r>
          </w:p>
        </w:tc>
      </w:tr>
      <w:tr>
        <w:tc>
          <w:tcPr>
            <w:gridSpan w:val="7"/>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gridSpan w:val="2"/>
            <w:tcW w:w="850" w:type="dxa"/>
            <w:tcBorders>
              <w:top w:val="single" w:sz="4"/>
              <w:left w:val="nil"/>
              <w:bottom w:val="nil"/>
              <w:right w:val="nil"/>
            </w:tcBorders>
          </w:tcPr>
          <w:p>
            <w:pPr>
              <w:pStyle w:val="0"/>
              <w:jc w:val="center"/>
            </w:pPr>
            <w:r>
              <w:rPr>
                <w:sz w:val="24"/>
              </w:rPr>
              <w:t xml:space="preserve">(дата)</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аттракционов, номер телефона, электронный адрес)</w:t>
            </w:r>
          </w:p>
        </w:tc>
      </w:tr>
      <w:tr>
        <w:tc>
          <w:tcPr>
            <w:gridSpan w:val="10"/>
            <w:tcW w:w="9070" w:type="dxa"/>
            <w:tcBorders>
              <w:top w:val="nil"/>
              <w:left w:val="nil"/>
              <w:bottom w:val="nil"/>
              <w:right w:val="nil"/>
            </w:tcBorders>
          </w:tcPr>
          <w:p>
            <w:pPr>
              <w:pStyle w:val="0"/>
              <w:jc w:val="center"/>
            </w:pPr>
            <w:r>
              <w:rPr>
                <w:sz w:val="24"/>
              </w:rPr>
              <w:t xml:space="preserve">ПИСЬМЕННЫЕ ОБЪЯСНЕНИЯ</w:t>
            </w:r>
          </w:p>
        </w:tc>
      </w:tr>
      <w:tr>
        <w:tc>
          <w:tcPr>
            <w:gridSpan w:val="3"/>
            <w:tcW w:w="3922" w:type="dxa"/>
            <w:vAlign w:val="center"/>
            <w:tcBorders>
              <w:top w:val="nil"/>
              <w:left w:val="nil"/>
              <w:bottom w:val="nil"/>
              <w:right w:val="nil"/>
            </w:tcBorders>
          </w:tcPr>
          <w:p>
            <w:pPr>
              <w:pStyle w:val="0"/>
              <w:jc w:val="both"/>
            </w:pPr>
            <w:r>
              <w:rPr>
                <w:sz w:val="24"/>
              </w:rPr>
              <w:t xml:space="preserve">1. При проведении:</w:t>
            </w:r>
          </w:p>
        </w:tc>
        <w:tc>
          <w:tcPr>
            <w:gridSpan w:val="7"/>
            <w:tcW w:w="5148" w:type="dxa"/>
            <w:tcBorders>
              <w:top w:val="nil"/>
              <w:left w:val="nil"/>
              <w:bottom w:val="single" w:sz="4"/>
              <w:right w:val="nil"/>
            </w:tcBorders>
          </w:tcPr>
          <w:p>
            <w:pPr>
              <w:pStyle w:val="0"/>
            </w:pPr>
            <w:r>
              <w:rPr>
                <w:sz w:val="24"/>
              </w:rPr>
            </w:r>
          </w:p>
        </w:tc>
      </w:tr>
      <w:tr>
        <w:tc>
          <w:tcPr>
            <w:gridSpan w:val="3"/>
            <w:tcW w:w="3922" w:type="dxa"/>
            <w:tcBorders>
              <w:top w:val="nil"/>
              <w:left w:val="nil"/>
              <w:bottom w:val="nil"/>
              <w:right w:val="nil"/>
            </w:tcBorders>
          </w:tcPr>
          <w:p>
            <w:pPr>
              <w:pStyle w:val="0"/>
            </w:pPr>
            <w:r>
              <w:rPr>
                <w:sz w:val="24"/>
              </w:rPr>
            </w:r>
          </w:p>
        </w:tc>
        <w:tc>
          <w:tcPr>
            <w:gridSpan w:val="7"/>
            <w:tcW w:w="5148" w:type="dxa"/>
            <w:tcBorders>
              <w:top w:val="single" w:sz="4"/>
              <w:left w:val="nil"/>
              <w:bottom w:val="nil"/>
              <w:right w:val="nil"/>
            </w:tcBorders>
          </w:tcPr>
          <w:p>
            <w:pPr>
              <w:pStyle w:val="0"/>
              <w:jc w:val="center"/>
            </w:pPr>
            <w:r>
              <w:rPr>
                <w:sz w:val="24"/>
              </w:rPr>
              <w:t xml:space="preserve">(указывается вид контрольного (надзорного)</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мероприятия)</w:t>
            </w:r>
          </w:p>
        </w:tc>
      </w:tr>
      <w:tr>
        <w:tc>
          <w:tcPr>
            <w:gridSpan w:val="10"/>
            <w:tcW w:w="9070" w:type="dxa"/>
            <w:tcBorders>
              <w:top w:val="nil"/>
              <w:left w:val="nil"/>
              <w:bottom w:val="single" w:sz="4"/>
              <w:right w:val="nil"/>
            </w:tcBorders>
          </w:tcPr>
          <w:p>
            <w:pPr>
              <w:pStyle w:val="0"/>
            </w:pPr>
            <w:r>
              <w:rPr>
                <w:sz w:val="24"/>
              </w:rPr>
            </w:r>
          </w:p>
        </w:tc>
      </w:tr>
      <w:tr>
        <w:tblPrEx>
          <w:tblBorders>
            <w:insideH w:val="single" w:sz="4"/>
          </w:tblBorders>
        </w:tblPrEx>
        <w:tc>
          <w:tcPr>
            <w:gridSpan w:val="3"/>
            <w:tcW w:w="3922" w:type="dxa"/>
            <w:tcBorders>
              <w:top w:val="single" w:sz="4"/>
              <w:left w:val="nil"/>
              <w:bottom w:val="nil"/>
              <w:right w:val="nil"/>
            </w:tcBorders>
          </w:tcPr>
          <w:p>
            <w:pPr>
              <w:pStyle w:val="0"/>
              <w:jc w:val="both"/>
            </w:pPr>
            <w:r>
              <w:rPr>
                <w:sz w:val="24"/>
              </w:rPr>
              <w:t xml:space="preserve">на основании:</w:t>
            </w:r>
          </w:p>
        </w:tc>
        <w:tc>
          <w:tcPr>
            <w:gridSpan w:val="7"/>
            <w:tcW w:w="5148" w:type="dxa"/>
            <w:tcBorders>
              <w:top w:val="single" w:sz="4"/>
              <w:left w:val="nil"/>
              <w:bottom w:val="single" w:sz="4"/>
              <w:right w:val="nil"/>
            </w:tcBorders>
          </w:tcPr>
          <w:p>
            <w:pPr>
              <w:pStyle w:val="0"/>
            </w:pPr>
            <w:r>
              <w:rPr>
                <w:sz w:val="24"/>
              </w:rPr>
            </w:r>
          </w:p>
        </w:tc>
      </w:tr>
      <w:tr>
        <w:tc>
          <w:tcPr>
            <w:gridSpan w:val="3"/>
            <w:tcW w:w="3922" w:type="dxa"/>
            <w:tcBorders>
              <w:top w:val="nil"/>
              <w:left w:val="nil"/>
              <w:bottom w:val="nil"/>
              <w:right w:val="nil"/>
            </w:tcBorders>
          </w:tcPr>
          <w:p>
            <w:pPr>
              <w:pStyle w:val="0"/>
            </w:pPr>
            <w:r>
              <w:rPr>
                <w:sz w:val="24"/>
              </w:rPr>
            </w:r>
          </w:p>
        </w:tc>
        <w:tc>
          <w:tcPr>
            <w:gridSpan w:val="7"/>
            <w:tcW w:w="5148"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контрольного (надзорного) мероприятия)</w:t>
            </w:r>
          </w:p>
        </w:tc>
      </w:tr>
      <w:tr>
        <w:tc>
          <w:tcPr>
            <w:gridSpan w:val="10"/>
            <w:tcW w:w="9070" w:type="dxa"/>
            <w:tcBorders>
              <w:top w:val="nil"/>
              <w:left w:val="nil"/>
              <w:bottom w:val="nil"/>
              <w:right w:val="nil"/>
            </w:tcBorders>
          </w:tcPr>
          <w:p>
            <w:pPr>
              <w:pStyle w:val="0"/>
              <w:jc w:val="both"/>
            </w:pPr>
            <w:r>
              <w:rPr>
                <w:sz w:val="24"/>
              </w:rPr>
              <w:t xml:space="preserve">в соответствии со </w:t>
            </w:r>
            <w:hyperlink w:history="0" r:id="rId5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79</w:t>
              </w:r>
            </w:hyperlink>
            <w:r>
              <w:rPr>
                <w:sz w:val="24"/>
              </w:rPr>
              <w:t xml:space="preserve"> Федерального закона "О государственном контроле (надзоре) и муниципальном контроле в Российской Федерации" составлены объяснения в отношении:</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(указываются фамилия, имя, отчество (при наличии)</w:t>
            </w:r>
          </w:p>
        </w:tc>
      </w:tr>
      <w:tr>
        <w:tc>
          <w:tcPr>
            <w:gridSpan w:val="10"/>
            <w:tcW w:w="9070" w:type="dxa"/>
            <w:tcBorders>
              <w:top w:val="nil"/>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jc w:val="center"/>
            </w:pPr>
            <w:r>
              <w:rPr>
                <w:sz w:val="24"/>
              </w:rPr>
              <w:t xml:space="preserve">руководителя юридического лица или иного должностного лица, индивидуального</w:t>
            </w:r>
          </w:p>
        </w:tc>
      </w:tr>
      <w:tr>
        <w:tc>
          <w:tcPr>
            <w:gridSpan w:val="9"/>
            <w:tcW w:w="8560" w:type="dxa"/>
            <w:tcBorders>
              <w:top w:val="nil"/>
              <w:left w:val="nil"/>
              <w:bottom w:val="single" w:sz="4"/>
              <w:right w:val="nil"/>
            </w:tcBorders>
          </w:tcPr>
          <w:p>
            <w:pPr>
              <w:pStyle w:val="0"/>
            </w:pPr>
            <w:r>
              <w:rPr>
                <w:sz w:val="24"/>
              </w:rPr>
            </w:r>
          </w:p>
        </w:tc>
        <w:tc>
          <w:tcPr>
            <w:tcW w:w="510" w:type="dxa"/>
            <w:vAlign w:val="center"/>
            <w:tcBorders>
              <w:top w:val="nil"/>
              <w:left w:val="nil"/>
              <w:bottom w:val="nil"/>
              <w:right w:val="nil"/>
            </w:tcBorders>
          </w:tcPr>
          <w:p>
            <w:pPr>
              <w:pStyle w:val="0"/>
              <w:jc w:val="both"/>
            </w:pPr>
            <w:r>
              <w:rPr>
                <w:sz w:val="24"/>
              </w:rPr>
              <w:t xml:space="preserve">.</w:t>
            </w:r>
          </w:p>
        </w:tc>
      </w:tr>
      <w:tr>
        <w:tc>
          <w:tcPr>
            <w:gridSpan w:val="9"/>
            <w:tcW w:w="8560" w:type="dxa"/>
            <w:tcBorders>
              <w:top w:val="single" w:sz="4"/>
              <w:left w:val="nil"/>
              <w:bottom w:val="nil"/>
              <w:right w:val="nil"/>
            </w:tcBorders>
          </w:tcPr>
          <w:p>
            <w:pPr>
              <w:pStyle w:val="0"/>
              <w:jc w:val="center"/>
            </w:pPr>
            <w:r>
              <w:rPr>
                <w:sz w:val="24"/>
              </w:rPr>
              <w:t xml:space="preserve">предпринимателя, их уполномоченных представителей, свидетеля(ей))</w:t>
            </w:r>
          </w:p>
        </w:tc>
        <w:tc>
          <w:tcPr>
            <w:tcW w:w="510" w:type="dxa"/>
            <w:tcBorders>
              <w:top w:val="nil"/>
              <w:left w:val="nil"/>
              <w:bottom w:val="nil"/>
              <w:right w:val="nil"/>
            </w:tcBorders>
          </w:tcPr>
          <w:p>
            <w:pPr>
              <w:pStyle w:val="0"/>
            </w:pPr>
            <w:r>
              <w:rPr>
                <w:sz w:val="24"/>
              </w:rPr>
            </w:r>
          </w:p>
        </w:tc>
      </w:tr>
      <w:tr>
        <w:tc>
          <w:tcPr>
            <w:gridSpan w:val="3"/>
            <w:tcW w:w="3922" w:type="dxa"/>
            <w:vAlign w:val="center"/>
            <w:tcBorders>
              <w:top w:val="nil"/>
              <w:left w:val="nil"/>
              <w:bottom w:val="nil"/>
              <w:right w:val="nil"/>
            </w:tcBorders>
          </w:tcPr>
          <w:p>
            <w:pPr>
              <w:pStyle w:val="0"/>
              <w:jc w:val="both"/>
            </w:pPr>
            <w:r>
              <w:rPr>
                <w:sz w:val="24"/>
              </w:rPr>
              <w:t xml:space="preserve">2. Письменные объяснения прилагаются:</w:t>
            </w:r>
          </w:p>
        </w:tc>
        <w:tc>
          <w:tcPr>
            <w:gridSpan w:val="6"/>
            <w:tcW w:w="4638" w:type="dxa"/>
            <w:tcBorders>
              <w:top w:val="nil"/>
              <w:left w:val="nil"/>
              <w:bottom w:val="single" w:sz="4"/>
              <w:right w:val="nil"/>
            </w:tcBorders>
          </w:tcPr>
          <w:p>
            <w:pPr>
              <w:pStyle w:val="0"/>
            </w:pPr>
            <w:r>
              <w:rPr>
                <w:sz w:val="24"/>
              </w:rPr>
            </w:r>
          </w:p>
        </w:tc>
        <w:tc>
          <w:tcPr>
            <w:tcW w:w="510" w:type="dxa"/>
            <w:vAlign w:val="bottom"/>
            <w:tcBorders>
              <w:top w:val="nil"/>
              <w:left w:val="nil"/>
              <w:bottom w:val="nil"/>
              <w:right w:val="nil"/>
            </w:tcBorders>
          </w:tcPr>
          <w:p>
            <w:pPr>
              <w:pStyle w:val="0"/>
              <w:jc w:val="both"/>
            </w:pPr>
            <w:r>
              <w:rPr>
                <w:sz w:val="24"/>
              </w:rPr>
              <w:t xml:space="preserve">.</w:t>
            </w:r>
          </w:p>
        </w:tc>
      </w:tr>
      <w:tr>
        <w:tc>
          <w:tcPr>
            <w:gridSpan w:val="3"/>
            <w:tcW w:w="3922" w:type="dxa"/>
            <w:tcBorders>
              <w:top w:val="nil"/>
              <w:left w:val="nil"/>
              <w:bottom w:val="nil"/>
              <w:right w:val="nil"/>
            </w:tcBorders>
          </w:tcPr>
          <w:p>
            <w:pPr>
              <w:pStyle w:val="0"/>
            </w:pPr>
            <w:r>
              <w:rPr>
                <w:sz w:val="24"/>
              </w:rPr>
            </w:r>
          </w:p>
        </w:tc>
        <w:tc>
          <w:tcPr>
            <w:gridSpan w:val="6"/>
            <w:tcW w:w="4638" w:type="dxa"/>
            <w:tcBorders>
              <w:top w:val="single" w:sz="4"/>
              <w:left w:val="nil"/>
              <w:bottom w:val="nil"/>
              <w:right w:val="nil"/>
            </w:tcBorders>
          </w:tcPr>
          <w:p>
            <w:pPr>
              <w:pStyle w:val="0"/>
              <w:jc w:val="center"/>
            </w:pPr>
            <w:r>
              <w:rPr>
                <w:sz w:val="24"/>
              </w:rPr>
              <w:t xml:space="preserve">(указать количество листов)</w:t>
            </w:r>
          </w:p>
        </w:tc>
        <w:tc>
          <w:tcPr>
            <w:tcW w:w="510" w:type="dxa"/>
            <w:tcBorders>
              <w:top w:val="nil"/>
              <w:left w:val="nil"/>
              <w:bottom w:val="nil"/>
              <w:right w:val="nil"/>
            </w:tcBorders>
          </w:tcPr>
          <w:p>
            <w:pPr>
              <w:pStyle w:val="0"/>
            </w:pPr>
            <w:r>
              <w:rPr>
                <w:sz w:val="24"/>
              </w:rPr>
            </w:r>
          </w:p>
        </w:tc>
      </w:tr>
      <w:tr>
        <w:tc>
          <w:tcPr>
            <w:gridSpan w:val="3"/>
            <w:tcW w:w="3922" w:type="dxa"/>
            <w:vAlign w:val="center"/>
            <w:tcBorders>
              <w:top w:val="nil"/>
              <w:left w:val="nil"/>
              <w:bottom w:val="nil"/>
              <w:right w:val="nil"/>
            </w:tcBorders>
          </w:tcPr>
          <w:p>
            <w:pPr>
              <w:pStyle w:val="0"/>
            </w:pPr>
            <w:r>
              <w:rPr>
                <w:sz w:val="24"/>
              </w:rPr>
              <w:t xml:space="preserve">3. Письменные свидетельства:</w:t>
            </w:r>
          </w:p>
        </w:tc>
        <w:tc>
          <w:tcPr>
            <w:gridSpan w:val="7"/>
            <w:tcW w:w="5148" w:type="dxa"/>
            <w:tcBorders>
              <w:top w:val="nil"/>
              <w:left w:val="nil"/>
              <w:bottom w:val="single" w:sz="4"/>
              <w:right w:val="nil"/>
            </w:tcBorders>
          </w:tcPr>
          <w:p>
            <w:pPr>
              <w:pStyle w:val="0"/>
            </w:pPr>
            <w:r>
              <w:rPr>
                <w:sz w:val="24"/>
              </w:rPr>
            </w:r>
          </w:p>
        </w:tc>
      </w:tr>
      <w:tr>
        <w:tc>
          <w:tcPr>
            <w:gridSpan w:val="10"/>
            <w:tcW w:w="9070" w:type="dxa"/>
            <w:tcBorders>
              <w:top w:val="nil"/>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9070" w:type="dxa"/>
            <w:tcBorders>
              <w:top w:val="single" w:sz="4"/>
              <w:left w:val="nil"/>
              <w:bottom w:val="single" w:sz="4"/>
              <w:right w:val="nil"/>
            </w:tcBorders>
          </w:tcPr>
          <w:p>
            <w:pPr>
              <w:pStyle w:val="0"/>
            </w:pPr>
            <w:r>
              <w:rPr>
                <w:sz w:val="24"/>
              </w:rPr>
            </w:r>
          </w:p>
        </w:tc>
      </w:tr>
      <w:tr>
        <w:tc>
          <w:tcPr>
            <w:gridSpan w:val="10"/>
            <w:tcW w:w="9070" w:type="dxa"/>
            <w:tcBorders>
              <w:top w:val="single" w:sz="4"/>
              <w:left w:val="nil"/>
              <w:bottom w:val="nil"/>
              <w:right w:val="nil"/>
            </w:tcBorders>
          </w:tcPr>
          <w:p>
            <w:pPr>
              <w:pStyle w:val="0"/>
            </w:pPr>
            <w:r>
              <w:rPr>
                <w:sz w:val="24"/>
              </w:rPr>
            </w:r>
          </w:p>
        </w:tc>
      </w:tr>
      <w:tr>
        <w:tc>
          <w:tcPr>
            <w:tcW w:w="2675" w:type="dxa"/>
            <w:tcBorders>
              <w:top w:val="nil"/>
              <w:left w:val="nil"/>
              <w:bottom w:val="nil"/>
              <w:right w:val="nil"/>
            </w:tcBorders>
            <w:vMerge w:val="restart"/>
          </w:tcPr>
          <w:p>
            <w:pPr>
              <w:pStyle w:val="0"/>
            </w:pPr>
            <w:r>
              <w:rPr>
                <w:sz w:val="24"/>
              </w:rPr>
              <w:t xml:space="preserve">С объяснениями ознакомлен(а),</w:t>
            </w:r>
          </w:p>
          <w:p>
            <w:pPr>
              <w:pStyle w:val="0"/>
            </w:pPr>
            <w:r>
              <w:rPr>
                <w:sz w:val="24"/>
              </w:rPr>
              <w:t xml:space="preserve">со слов записано верно</w:t>
            </w:r>
          </w:p>
        </w:tc>
        <w:tc>
          <w:tcPr>
            <w:tcW w:w="340" w:type="dxa"/>
            <w:tcBorders>
              <w:top w:val="nil"/>
              <w:left w:val="nil"/>
              <w:bottom w:val="nil"/>
              <w:right w:val="nil"/>
            </w:tcBorders>
          </w:tcPr>
          <w:p>
            <w:pPr>
              <w:pStyle w:val="0"/>
            </w:pPr>
            <w:r>
              <w:rPr>
                <w:sz w:val="24"/>
              </w:rPr>
            </w:r>
          </w:p>
        </w:tc>
        <w:tc>
          <w:tcPr>
            <w:gridSpan w:val="2"/>
            <w:tcW w:w="1666" w:type="dxa"/>
            <w:tcBorders>
              <w:top w:val="nil"/>
              <w:left w:val="nil"/>
              <w:bottom w:val="single" w:sz="4"/>
              <w:right w:val="nil"/>
            </w:tcBorders>
          </w:tcPr>
          <w:p>
            <w:pPr>
              <w:pStyle w:val="0"/>
            </w:pPr>
            <w:r>
              <w:rPr>
                <w:sz w:val="24"/>
              </w:rPr>
            </w:r>
          </w:p>
        </w:tc>
        <w:tc>
          <w:tcPr>
            <w:tcW w:w="624" w:type="dxa"/>
            <w:tcBorders>
              <w:top w:val="nil"/>
              <w:left w:val="nil"/>
              <w:bottom w:val="nil"/>
              <w:right w:val="nil"/>
            </w:tcBorders>
          </w:tcPr>
          <w:p>
            <w:pPr>
              <w:pStyle w:val="0"/>
            </w:pPr>
            <w:r>
              <w:rPr>
                <w:sz w:val="24"/>
              </w:rPr>
            </w:r>
          </w:p>
        </w:tc>
        <w:tc>
          <w:tcPr>
            <w:gridSpan w:val="5"/>
            <w:tcW w:w="3765"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4"/>
              </w:rPr>
            </w:r>
          </w:p>
        </w:tc>
        <w:tc>
          <w:tcPr>
            <w:gridSpan w:val="2"/>
            <w:tcW w:w="1666" w:type="dxa"/>
            <w:tcBorders>
              <w:top w:val="single" w:sz="4"/>
              <w:left w:val="nil"/>
              <w:bottom w:val="nil"/>
              <w:right w:val="nil"/>
            </w:tcBorders>
          </w:tcPr>
          <w:p>
            <w:pPr>
              <w:pStyle w:val="0"/>
              <w:jc w:val="center"/>
            </w:pPr>
            <w:r>
              <w:rPr>
                <w:sz w:val="24"/>
              </w:rPr>
              <w:t xml:space="preserve">(подпись)</w:t>
            </w:r>
          </w:p>
        </w:tc>
        <w:tc>
          <w:tcPr>
            <w:tcW w:w="624" w:type="dxa"/>
            <w:tcBorders>
              <w:top w:val="nil"/>
              <w:left w:val="nil"/>
              <w:bottom w:val="nil"/>
              <w:right w:val="nil"/>
            </w:tcBorders>
          </w:tcPr>
          <w:p>
            <w:pPr>
              <w:pStyle w:val="0"/>
            </w:pPr>
            <w:r>
              <w:rPr>
                <w:sz w:val="24"/>
              </w:rPr>
            </w:r>
          </w:p>
        </w:tc>
        <w:tc>
          <w:tcPr>
            <w:gridSpan w:val="5"/>
            <w:tcW w:w="3765" w:type="dxa"/>
            <w:tcBorders>
              <w:top w:val="single" w:sz="4"/>
              <w:left w:val="nil"/>
              <w:bottom w:val="nil"/>
              <w:right w:val="nil"/>
            </w:tcBorders>
          </w:tcPr>
          <w:p>
            <w:pPr>
              <w:pStyle w:val="0"/>
              <w:jc w:val="center"/>
            </w:pPr>
            <w:r>
              <w:rPr>
                <w:sz w:val="24"/>
              </w:rPr>
              <w:t xml:space="preserve">(фамилия, имя, отчество (при наличии) лица, дающего письменные свидетельства)</w:t>
            </w:r>
          </w:p>
        </w:tc>
      </w:tr>
      <w:tr>
        <w:tc>
          <w:tcPr>
            <w:tcW w:w="2675" w:type="dxa"/>
            <w:vAlign w:val="center"/>
            <w:tcBorders>
              <w:top w:val="nil"/>
              <w:left w:val="nil"/>
              <w:bottom w:val="nil"/>
              <w:right w:val="nil"/>
            </w:tcBorders>
          </w:tcPr>
          <w:p>
            <w:pPr>
              <w:pStyle w:val="0"/>
            </w:pPr>
            <w:r>
              <w:rPr>
                <w:sz w:val="24"/>
              </w:rPr>
              <w:t xml:space="preserve">МП (при наличии)</w:t>
            </w:r>
          </w:p>
        </w:tc>
        <w:tc>
          <w:tcPr>
            <w:tcW w:w="340" w:type="dxa"/>
            <w:tcBorders>
              <w:top w:val="nil"/>
              <w:left w:val="nil"/>
              <w:bottom w:val="nil"/>
              <w:right w:val="nil"/>
            </w:tcBorders>
          </w:tcPr>
          <w:p>
            <w:pPr>
              <w:pStyle w:val="0"/>
            </w:pPr>
            <w:r>
              <w:rPr>
                <w:sz w:val="24"/>
              </w:rPr>
            </w:r>
          </w:p>
        </w:tc>
        <w:tc>
          <w:tcPr>
            <w:gridSpan w:val="2"/>
            <w:tcW w:w="1666" w:type="dxa"/>
            <w:tcBorders>
              <w:top w:val="nil"/>
              <w:left w:val="nil"/>
              <w:bottom w:val="nil"/>
              <w:right w:val="nil"/>
            </w:tcBorders>
          </w:tcPr>
          <w:p>
            <w:pPr>
              <w:pStyle w:val="0"/>
            </w:pPr>
            <w:r>
              <w:rPr>
                <w:sz w:val="24"/>
              </w:rPr>
            </w:r>
          </w:p>
        </w:tc>
        <w:tc>
          <w:tcPr>
            <w:tcW w:w="624" w:type="dxa"/>
            <w:tcBorders>
              <w:top w:val="nil"/>
              <w:left w:val="nil"/>
              <w:bottom w:val="nil"/>
              <w:right w:val="nil"/>
            </w:tcBorders>
          </w:tcPr>
          <w:p>
            <w:pPr>
              <w:pStyle w:val="0"/>
            </w:pPr>
            <w:r>
              <w:rPr>
                <w:sz w:val="24"/>
              </w:rPr>
            </w:r>
          </w:p>
        </w:tc>
        <w:tc>
          <w:tcPr>
            <w:gridSpan w:val="5"/>
            <w:tcW w:w="3765" w:type="dxa"/>
            <w:tcBorders>
              <w:top w:val="nil"/>
              <w:left w:val="nil"/>
              <w:bottom w:val="nil"/>
              <w:right w:val="nil"/>
            </w:tcBorders>
          </w:tcPr>
          <w:p>
            <w:pPr>
              <w:pStyle w:val="0"/>
            </w:pPr>
            <w:r>
              <w:rPr>
                <w:sz w:val="24"/>
              </w:rPr>
            </w:r>
          </w:p>
        </w:tc>
      </w:tr>
      <w:tr>
        <w:tc>
          <w:tcPr>
            <w:tcW w:w="2675" w:type="dxa"/>
            <w:tcBorders>
              <w:top w:val="nil"/>
              <w:left w:val="nil"/>
              <w:bottom w:val="nil"/>
              <w:right w:val="nil"/>
            </w:tcBorders>
          </w:tcPr>
          <w:p>
            <w:pPr>
              <w:pStyle w:val="0"/>
            </w:pPr>
            <w:r>
              <w:rPr>
                <w:sz w:val="24"/>
              </w:rPr>
              <w:t xml:space="preserve">Дата составления:</w:t>
            </w:r>
          </w:p>
        </w:tc>
        <w:tc>
          <w:tcPr>
            <w:tcW w:w="340" w:type="dxa"/>
            <w:tcBorders>
              <w:top w:val="nil"/>
              <w:left w:val="nil"/>
              <w:bottom w:val="nil"/>
              <w:right w:val="nil"/>
            </w:tcBorders>
          </w:tcPr>
          <w:p>
            <w:pPr>
              <w:pStyle w:val="0"/>
            </w:pPr>
            <w:r>
              <w:rPr>
                <w:sz w:val="24"/>
              </w:rPr>
            </w:r>
          </w:p>
        </w:tc>
        <w:tc>
          <w:tcPr>
            <w:gridSpan w:val="3"/>
            <w:tcW w:w="2290" w:type="dxa"/>
            <w:tcBorders>
              <w:top w:val="nil"/>
              <w:left w:val="nil"/>
              <w:bottom w:val="nil"/>
              <w:right w:val="nil"/>
            </w:tcBorders>
          </w:tcPr>
          <w:p>
            <w:pPr>
              <w:pStyle w:val="0"/>
              <w:jc w:val="center"/>
            </w:pPr>
            <w:r>
              <w:rPr>
                <w:sz w:val="24"/>
              </w:rPr>
              <w:t xml:space="preserve">"__" ______ 20__ г.</w:t>
            </w:r>
          </w:p>
        </w:tc>
        <w:tc>
          <w:tcPr>
            <w:gridSpan w:val="5"/>
            <w:tcW w:w="3765" w:type="dxa"/>
            <w:tcBorders>
              <w:top w:val="nil"/>
              <w:left w:val="nil"/>
              <w:bottom w:val="nil"/>
              <w:right w:val="nil"/>
            </w:tcBorders>
          </w:tcPr>
          <w:p>
            <w:pPr>
              <w:pStyle w:val="0"/>
            </w:pPr>
            <w:r>
              <w:rPr>
                <w:sz w:val="24"/>
              </w:rPr>
            </w:r>
          </w:p>
        </w:tc>
      </w:tr>
      <w:tr>
        <w:tc>
          <w:tcPr>
            <w:tcW w:w="267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2290" w:type="dxa"/>
            <w:tcBorders>
              <w:top w:val="nil"/>
              <w:left w:val="nil"/>
              <w:bottom w:val="nil"/>
              <w:right w:val="nil"/>
            </w:tcBorders>
          </w:tcPr>
          <w:p>
            <w:pPr>
              <w:pStyle w:val="0"/>
              <w:jc w:val="center"/>
            </w:pPr>
            <w:r>
              <w:rPr>
                <w:sz w:val="24"/>
              </w:rPr>
              <w:t xml:space="preserve">(заполняется лицом, представившим объяснения)</w:t>
            </w:r>
          </w:p>
        </w:tc>
        <w:tc>
          <w:tcPr>
            <w:gridSpan w:val="5"/>
            <w:tcW w:w="3765" w:type="dxa"/>
            <w:tcBorders>
              <w:top w:val="nil"/>
              <w:left w:val="nil"/>
              <w:bottom w:val="nil"/>
              <w:right w:val="nil"/>
            </w:tcBorders>
          </w:tcPr>
          <w:p>
            <w:pPr>
              <w:pStyle w:val="0"/>
            </w:pPr>
            <w:r>
              <w:rPr>
                <w:sz w:val="24"/>
              </w:rPr>
            </w:r>
          </w:p>
        </w:tc>
      </w:tr>
      <w:tr>
        <w:tc>
          <w:tcPr>
            <w:tcW w:w="2675" w:type="dxa"/>
            <w:vAlign w:val="center"/>
            <w:tcBorders>
              <w:top w:val="nil"/>
              <w:left w:val="nil"/>
              <w:bottom w:val="nil"/>
              <w:right w:val="nil"/>
            </w:tcBorders>
          </w:tcPr>
          <w:p>
            <w:pPr>
              <w:pStyle w:val="0"/>
            </w:pPr>
            <w:r>
              <w:rPr>
                <w:sz w:val="24"/>
              </w:rPr>
              <w:t xml:space="preserve">Место составления:</w:t>
            </w:r>
          </w:p>
        </w:tc>
        <w:tc>
          <w:tcPr>
            <w:tcW w:w="340" w:type="dxa"/>
            <w:tcBorders>
              <w:top w:val="nil"/>
              <w:left w:val="nil"/>
              <w:bottom w:val="nil"/>
              <w:right w:val="nil"/>
            </w:tcBorders>
          </w:tcPr>
          <w:p>
            <w:pPr>
              <w:pStyle w:val="0"/>
            </w:pPr>
            <w:r>
              <w:rPr>
                <w:sz w:val="24"/>
              </w:rPr>
            </w:r>
          </w:p>
        </w:tc>
        <w:tc>
          <w:tcPr>
            <w:gridSpan w:val="8"/>
            <w:tcW w:w="6055" w:type="dxa"/>
            <w:tcBorders>
              <w:top w:val="nil"/>
              <w:left w:val="nil"/>
              <w:bottom w:val="single" w:sz="4"/>
              <w:right w:val="nil"/>
            </w:tcBorders>
          </w:tcPr>
          <w:p>
            <w:pPr>
              <w:pStyle w:val="0"/>
            </w:pPr>
            <w:r>
              <w:rPr>
                <w:sz w:val="24"/>
              </w:rPr>
            </w:r>
          </w:p>
        </w:tc>
      </w:tr>
      <w:tr>
        <w:tc>
          <w:tcPr>
            <w:tcW w:w="267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8"/>
            <w:tcW w:w="6055" w:type="dxa"/>
            <w:tcBorders>
              <w:top w:val="single" w:sz="4"/>
              <w:left w:val="nil"/>
              <w:bottom w:val="nil"/>
              <w:right w:val="nil"/>
            </w:tcBorders>
          </w:tcPr>
          <w:p>
            <w:pPr>
              <w:pStyle w:val="0"/>
              <w:jc w:val="center"/>
            </w:pPr>
            <w:r>
              <w:rPr>
                <w:sz w:val="24"/>
              </w:rPr>
              <w:t xml:space="preserve">(заполняется лицом, представившим объяснения)</w:t>
            </w:r>
          </w:p>
        </w:tc>
      </w:tr>
      <w:tr>
        <w:tc>
          <w:tcPr>
            <w:gridSpan w:val="6"/>
            <w:tcW w:w="7346" w:type="dxa"/>
            <w:tcBorders>
              <w:top w:val="nil"/>
              <w:left w:val="nil"/>
              <w:bottom w:val="single" w:sz="4"/>
              <w:right w:val="nil"/>
            </w:tcBorders>
          </w:tcPr>
          <w:p>
            <w:pPr>
              <w:pStyle w:val="0"/>
            </w:pPr>
            <w:r>
              <w:rPr>
                <w:sz w:val="24"/>
              </w:rPr>
            </w:r>
          </w:p>
        </w:tc>
        <w:tc>
          <w:tcPr>
            <w:tcW w:w="534" w:type="dxa"/>
            <w:tcBorders>
              <w:top w:val="nil"/>
              <w:left w:val="nil"/>
              <w:bottom w:val="nil"/>
              <w:right w:val="nil"/>
            </w:tcBorders>
          </w:tcPr>
          <w:p>
            <w:pPr>
              <w:pStyle w:val="0"/>
            </w:pPr>
            <w:r>
              <w:rPr>
                <w:sz w:val="24"/>
              </w:rPr>
            </w:r>
          </w:p>
        </w:tc>
        <w:tc>
          <w:tcPr>
            <w:gridSpan w:val="3"/>
            <w:tcW w:w="1190" w:type="dxa"/>
            <w:tcBorders>
              <w:top w:val="nil"/>
              <w:left w:val="nil"/>
              <w:bottom w:val="single" w:sz="4"/>
              <w:right w:val="nil"/>
            </w:tcBorders>
          </w:tcPr>
          <w:p>
            <w:pPr>
              <w:pStyle w:val="0"/>
            </w:pPr>
            <w:r>
              <w:rPr>
                <w:sz w:val="24"/>
              </w:rPr>
            </w:r>
          </w:p>
        </w:tc>
      </w:tr>
      <w:tr>
        <w:tc>
          <w:tcPr>
            <w:gridSpan w:val="6"/>
            <w:tcW w:w="7346"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аттракционов)</w:t>
            </w:r>
          </w:p>
        </w:tc>
        <w:tc>
          <w:tcPr>
            <w:tcW w:w="534" w:type="dxa"/>
            <w:tcBorders>
              <w:top w:val="nil"/>
              <w:left w:val="nil"/>
              <w:bottom w:val="nil"/>
              <w:right w:val="nil"/>
            </w:tcBorders>
          </w:tcPr>
          <w:p>
            <w:pPr>
              <w:pStyle w:val="0"/>
            </w:pPr>
            <w:r>
              <w:rPr>
                <w:sz w:val="24"/>
              </w:rPr>
            </w:r>
          </w:p>
        </w:tc>
        <w:tc>
          <w:tcPr>
            <w:gridSpan w:val="3"/>
            <w:tcW w:w="1190" w:type="dxa"/>
            <w:tcBorders>
              <w:top w:val="single" w:sz="4"/>
              <w:left w:val="nil"/>
              <w:bottom w:val="nil"/>
              <w:right w:val="nil"/>
            </w:tcBorders>
          </w:tcPr>
          <w:p>
            <w:pPr>
              <w:pStyle w:val="0"/>
              <w:jc w:val="center"/>
            </w:pPr>
            <w:r>
              <w:rPr>
                <w:sz w:val="24"/>
              </w:rPr>
              <w:t xml:space="preserve">(подпись)</w:t>
            </w:r>
          </w:p>
        </w:tc>
      </w:tr>
      <w:tr>
        <w:tc>
          <w:tcPr>
            <w:gridSpan w:val="6"/>
            <w:tcW w:w="7346" w:type="dxa"/>
            <w:tcBorders>
              <w:top w:val="nil"/>
              <w:left w:val="nil"/>
              <w:bottom w:val="nil"/>
              <w:right w:val="nil"/>
            </w:tcBorders>
          </w:tcPr>
          <w:p>
            <w:pPr>
              <w:pStyle w:val="0"/>
            </w:pPr>
            <w:r>
              <w:rPr>
                <w:sz w:val="24"/>
              </w:rPr>
              <w:t xml:space="preserve">МП</w:t>
            </w:r>
          </w:p>
        </w:tc>
        <w:tc>
          <w:tcPr>
            <w:tcW w:w="534" w:type="dxa"/>
            <w:tcBorders>
              <w:top w:val="nil"/>
              <w:left w:val="nil"/>
              <w:bottom w:val="nil"/>
              <w:right w:val="nil"/>
            </w:tcBorders>
          </w:tcPr>
          <w:p>
            <w:pPr>
              <w:pStyle w:val="0"/>
            </w:pPr>
            <w:r>
              <w:rPr>
                <w:sz w:val="24"/>
              </w:rPr>
            </w:r>
          </w:p>
        </w:tc>
        <w:tc>
          <w:tcPr>
            <w:gridSpan w:val="3"/>
            <w:tcW w:w="1190"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Положению о региональном государственном</w:t>
      </w:r>
    </w:p>
    <w:p>
      <w:pPr>
        <w:pStyle w:val="0"/>
        <w:jc w:val="right"/>
      </w:pPr>
      <w:r>
        <w:rPr>
          <w:sz w:val="24"/>
        </w:rPr>
        <w:t xml:space="preserve">контроле (надзоре) в области технического</w:t>
      </w:r>
    </w:p>
    <w:p>
      <w:pPr>
        <w:pStyle w:val="0"/>
        <w:jc w:val="right"/>
      </w:pPr>
      <w:r>
        <w:rPr>
          <w:sz w:val="24"/>
        </w:rPr>
        <w:t xml:space="preserve">состояния и эксплуатации аттракционов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5571"/>
        <w:gridCol w:w="1459"/>
        <w:gridCol w:w="340"/>
        <w:gridCol w:w="510"/>
        <w:gridCol w:w="340"/>
        <w:gridCol w:w="850"/>
      </w:tblGrid>
      <w:tr>
        <w:tblPrEx>
          <w:tblBorders>
            <w:insideH w:val="single" w:sz="4"/>
          </w:tblBorders>
        </w:tblPrEx>
        <w:tc>
          <w:tcPr>
            <w:gridSpan w:val="4"/>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50" w:type="dxa"/>
            <w:tcBorders>
              <w:top w:val="nil"/>
              <w:left w:val="nil"/>
              <w:bottom w:val="single" w:sz="4"/>
              <w:right w:val="nil"/>
            </w:tcBorders>
          </w:tcPr>
          <w:p>
            <w:pPr>
              <w:pStyle w:val="0"/>
            </w:pPr>
            <w:r>
              <w:rPr>
                <w:sz w:val="24"/>
              </w:rPr>
            </w:r>
          </w:p>
        </w:tc>
      </w:tr>
      <w:tr>
        <w:tc>
          <w:tcPr>
            <w:gridSpan w:val="4"/>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50" w:type="dxa"/>
            <w:tcBorders>
              <w:top w:val="single" w:sz="4"/>
              <w:left w:val="nil"/>
              <w:bottom w:val="nil"/>
              <w:right w:val="nil"/>
            </w:tcBorders>
          </w:tcPr>
          <w:p>
            <w:pPr>
              <w:pStyle w:val="0"/>
              <w:jc w:val="center"/>
            </w:pPr>
            <w:r>
              <w:rPr>
                <w:sz w:val="24"/>
              </w:rPr>
              <w:t xml:space="preserve">(дата)</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аттракционов,</w:t>
            </w:r>
          </w:p>
          <w:p>
            <w:pPr>
              <w:pStyle w:val="0"/>
              <w:jc w:val="center"/>
            </w:pPr>
            <w:r>
              <w:rPr>
                <w:sz w:val="24"/>
              </w:rPr>
              <w:t xml:space="preserve">номер телефона, электронный адрес)</w:t>
            </w:r>
          </w:p>
        </w:tc>
      </w:tr>
      <w:tr>
        <w:tc>
          <w:tcPr>
            <w:gridSpan w:val="2"/>
            <w:tcW w:w="7030" w:type="dxa"/>
            <w:vAlign w:val="center"/>
            <w:tcBorders>
              <w:top w:val="nil"/>
              <w:left w:val="nil"/>
              <w:bottom w:val="nil"/>
              <w:right w:val="nil"/>
            </w:tcBorders>
          </w:tcPr>
          <w:p>
            <w:pPr>
              <w:pStyle w:val="0"/>
            </w:pPr>
            <w:r>
              <w:rPr>
                <w:sz w:val="24"/>
              </w:rPr>
              <w:t xml:space="preserve">"__" ________________________ 20__ г.</w:t>
            </w:r>
          </w:p>
        </w:tc>
        <w:tc>
          <w:tcPr>
            <w:tcW w:w="340" w:type="dxa"/>
            <w:tcBorders>
              <w:top w:val="nil"/>
              <w:left w:val="nil"/>
              <w:bottom w:val="nil"/>
              <w:right w:val="nil"/>
            </w:tcBorders>
          </w:tcPr>
          <w:p>
            <w:pPr>
              <w:pStyle w:val="0"/>
            </w:pPr>
            <w:r>
              <w:rPr>
                <w:sz w:val="24"/>
              </w:rPr>
            </w:r>
          </w:p>
        </w:tc>
        <w:tc>
          <w:tcPr>
            <w:gridSpan w:val="3"/>
            <w:tcW w:w="1700" w:type="dxa"/>
            <w:tcBorders>
              <w:top w:val="nil"/>
              <w:left w:val="nil"/>
              <w:bottom w:val="single" w:sz="4"/>
              <w:right w:val="nil"/>
            </w:tcBorders>
          </w:tcPr>
          <w:p>
            <w:pPr>
              <w:pStyle w:val="0"/>
            </w:pPr>
            <w:r>
              <w:rPr>
                <w:sz w:val="24"/>
              </w:rPr>
            </w:r>
          </w:p>
        </w:tc>
      </w:tr>
      <w:tr>
        <w:tc>
          <w:tcPr>
            <w:gridSpan w:val="2"/>
            <w:tcW w:w="7030"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1700" w:type="dxa"/>
            <w:tcBorders>
              <w:top w:val="single" w:sz="4"/>
              <w:left w:val="nil"/>
              <w:bottom w:val="nil"/>
              <w:right w:val="nil"/>
            </w:tcBorders>
          </w:tcPr>
          <w:p>
            <w:pPr>
              <w:pStyle w:val="0"/>
              <w:jc w:val="center"/>
            </w:pPr>
            <w:r>
              <w:rPr>
                <w:sz w:val="24"/>
              </w:rPr>
              <w:t xml:space="preserve">(время)</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(место составления)</w:t>
            </w:r>
          </w:p>
        </w:tc>
      </w:tr>
      <w:tr>
        <w:tc>
          <w:tcPr>
            <w:gridSpan w:val="6"/>
            <w:tcW w:w="9070" w:type="dxa"/>
            <w:tcBorders>
              <w:top w:val="nil"/>
              <w:left w:val="nil"/>
              <w:bottom w:val="nil"/>
              <w:right w:val="nil"/>
            </w:tcBorders>
          </w:tcPr>
          <w:bookmarkStart w:id="684" w:name="P684"/>
          <w:bookmarkEnd w:id="684"/>
          <w:p>
            <w:pPr>
              <w:pStyle w:val="0"/>
              <w:jc w:val="center"/>
            </w:pPr>
            <w:r>
              <w:rPr>
                <w:sz w:val="24"/>
              </w:rPr>
              <w:t xml:space="preserve">ПРОТОКОЛ ИНСТРУМЕНТАЛЬНОГО ОБСЛЕДОВАНИЯ</w:t>
            </w:r>
          </w:p>
        </w:tc>
      </w:tr>
      <w:tr>
        <w:tc>
          <w:tcPr>
            <w:tcW w:w="5571" w:type="dxa"/>
            <w:vAlign w:val="center"/>
            <w:tcBorders>
              <w:top w:val="nil"/>
              <w:left w:val="nil"/>
              <w:bottom w:val="nil"/>
              <w:right w:val="nil"/>
            </w:tcBorders>
          </w:tcPr>
          <w:p>
            <w:pPr>
              <w:pStyle w:val="0"/>
            </w:pPr>
            <w:r>
              <w:rPr>
                <w:sz w:val="24"/>
              </w:rPr>
              <w:t xml:space="preserve">1. При проведении:</w:t>
            </w:r>
          </w:p>
        </w:tc>
        <w:tc>
          <w:tcPr>
            <w:gridSpan w:val="5"/>
            <w:tcW w:w="3499" w:type="dxa"/>
            <w:tcBorders>
              <w:top w:val="nil"/>
              <w:left w:val="nil"/>
              <w:bottom w:val="single" w:sz="4"/>
              <w:right w:val="nil"/>
            </w:tcBorders>
          </w:tcPr>
          <w:p>
            <w:pPr>
              <w:pStyle w:val="0"/>
            </w:pPr>
            <w:r>
              <w:rPr>
                <w:sz w:val="24"/>
              </w:rPr>
            </w:r>
          </w:p>
        </w:tc>
      </w:tr>
      <w:tr>
        <w:tc>
          <w:tcPr>
            <w:tcW w:w="5571" w:type="dxa"/>
            <w:tcBorders>
              <w:top w:val="nil"/>
              <w:left w:val="nil"/>
              <w:bottom w:val="nil"/>
              <w:right w:val="nil"/>
            </w:tcBorders>
          </w:tcPr>
          <w:p>
            <w:pPr>
              <w:pStyle w:val="0"/>
            </w:pPr>
            <w:r>
              <w:rPr>
                <w:sz w:val="24"/>
              </w:rPr>
            </w:r>
          </w:p>
        </w:tc>
        <w:tc>
          <w:tcPr>
            <w:gridSpan w:val="5"/>
            <w:tcW w:w="3499" w:type="dxa"/>
            <w:tcBorders>
              <w:top w:val="single" w:sz="4"/>
              <w:left w:val="nil"/>
              <w:bottom w:val="nil"/>
              <w:right w:val="nil"/>
            </w:tcBorders>
          </w:tcPr>
          <w:p>
            <w:pPr>
              <w:pStyle w:val="0"/>
              <w:jc w:val="center"/>
            </w:pPr>
            <w:r>
              <w:rPr>
                <w:sz w:val="24"/>
              </w:rPr>
              <w:t xml:space="preserve">(указывается вид контрольного (надзорного) или</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профилактического мероприятия)</w:t>
            </w:r>
          </w:p>
        </w:tc>
      </w:tr>
      <w:tr>
        <w:tc>
          <w:tcPr>
            <w:tcW w:w="5571" w:type="dxa"/>
            <w:vAlign w:val="center"/>
            <w:tcBorders>
              <w:top w:val="nil"/>
              <w:left w:val="nil"/>
              <w:bottom w:val="nil"/>
              <w:right w:val="nil"/>
            </w:tcBorders>
          </w:tcPr>
          <w:p>
            <w:pPr>
              <w:pStyle w:val="0"/>
            </w:pPr>
            <w:r>
              <w:rPr>
                <w:sz w:val="24"/>
              </w:rPr>
              <w:t xml:space="preserve">на основании:</w:t>
            </w:r>
          </w:p>
        </w:tc>
        <w:tc>
          <w:tcPr>
            <w:gridSpan w:val="5"/>
            <w:tcW w:w="3499" w:type="dxa"/>
            <w:tcBorders>
              <w:top w:val="nil"/>
              <w:left w:val="nil"/>
              <w:bottom w:val="single" w:sz="4"/>
              <w:right w:val="nil"/>
            </w:tcBorders>
          </w:tcPr>
          <w:p>
            <w:pPr>
              <w:pStyle w:val="0"/>
            </w:pPr>
            <w:r>
              <w:rPr>
                <w:sz w:val="24"/>
              </w:rPr>
            </w:r>
          </w:p>
        </w:tc>
      </w:tr>
      <w:tr>
        <w:tc>
          <w:tcPr>
            <w:tcW w:w="5571" w:type="dxa"/>
            <w:tcBorders>
              <w:top w:val="nil"/>
              <w:left w:val="nil"/>
              <w:bottom w:val="nil"/>
              <w:right w:val="nil"/>
            </w:tcBorders>
          </w:tcPr>
          <w:p>
            <w:pPr>
              <w:pStyle w:val="0"/>
            </w:pPr>
            <w:r>
              <w:rPr>
                <w:sz w:val="24"/>
              </w:rPr>
            </w:r>
          </w:p>
        </w:tc>
        <w:tc>
          <w:tcPr>
            <w:gridSpan w:val="5"/>
            <w:tcW w:w="3499"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контрольного (надзорного) или профилактического мероприятия, задания</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на проведение контрольного (надзорного) мероприятия)</w:t>
            </w:r>
          </w:p>
        </w:tc>
      </w:tr>
      <w:tr>
        <w:tc>
          <w:tcPr>
            <w:tcW w:w="5571" w:type="dxa"/>
            <w:vAlign w:val="center"/>
            <w:tcBorders>
              <w:top w:val="nil"/>
              <w:left w:val="nil"/>
              <w:bottom w:val="nil"/>
              <w:right w:val="nil"/>
            </w:tcBorders>
          </w:tcPr>
          <w:p>
            <w:pPr>
              <w:pStyle w:val="0"/>
            </w:pPr>
            <w:r>
              <w:rPr>
                <w:sz w:val="24"/>
              </w:rPr>
              <w:t xml:space="preserve">в отношении:</w:t>
            </w:r>
          </w:p>
        </w:tc>
        <w:tc>
          <w:tcPr>
            <w:gridSpan w:val="5"/>
            <w:tcW w:w="3499" w:type="dxa"/>
            <w:tcBorders>
              <w:top w:val="nil"/>
              <w:left w:val="nil"/>
              <w:bottom w:val="single" w:sz="4"/>
              <w:right w:val="nil"/>
            </w:tcBorders>
          </w:tcPr>
          <w:p>
            <w:pPr>
              <w:pStyle w:val="0"/>
            </w:pPr>
            <w:r>
              <w:rPr>
                <w:sz w:val="24"/>
              </w:rPr>
            </w:r>
          </w:p>
        </w:tc>
      </w:tr>
      <w:tr>
        <w:tc>
          <w:tcPr>
            <w:tcW w:w="5571" w:type="dxa"/>
            <w:tcBorders>
              <w:top w:val="nil"/>
              <w:left w:val="nil"/>
              <w:bottom w:val="nil"/>
              <w:right w:val="nil"/>
            </w:tcBorders>
          </w:tcPr>
          <w:p>
            <w:pPr>
              <w:pStyle w:val="0"/>
            </w:pPr>
            <w:r>
              <w:rPr>
                <w:sz w:val="24"/>
              </w:rPr>
            </w:r>
          </w:p>
        </w:tc>
        <w:tc>
          <w:tcPr>
            <w:gridSpan w:val="5"/>
            <w:tcW w:w="3499" w:type="dxa"/>
            <w:tcBorders>
              <w:top w:val="single" w:sz="4"/>
              <w:left w:val="nil"/>
              <w:bottom w:val="nil"/>
              <w:right w:val="nil"/>
            </w:tcBorders>
          </w:tcPr>
          <w:p>
            <w:pPr>
              <w:pStyle w:val="0"/>
              <w:jc w:val="center"/>
            </w:pPr>
            <w:r>
              <w:rPr>
                <w:sz w:val="24"/>
              </w:rPr>
              <w:t xml:space="preserve">(указываются наименование юридического лица, фамилия,</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имя, отчество (при наличии) руководителя и иного должностного лица,</w:t>
            </w:r>
          </w:p>
        </w:tc>
      </w:tr>
      <w:tr>
        <w:tc>
          <w:tcPr>
            <w:gridSpan w:val="6"/>
            <w:tcW w:w="9070" w:type="dxa"/>
            <w:tcBorders>
              <w:top w:val="nil"/>
              <w:left w:val="nil"/>
              <w:bottom w:val="single" w:sz="4"/>
              <w:right w:val="nil"/>
            </w:tcBorders>
          </w:tcPr>
          <w:p>
            <w:pPr>
              <w:pStyle w:val="0"/>
            </w:pPr>
            <w:r>
              <w:rPr>
                <w:sz w:val="24"/>
              </w:rPr>
            </w:r>
          </w:p>
        </w:tc>
      </w:tr>
      <w:tr>
        <w:tc>
          <w:tcPr>
            <w:gridSpan w:val="6"/>
            <w:tcW w:w="9070" w:type="dxa"/>
            <w:tcBorders>
              <w:top w:val="single" w:sz="4"/>
              <w:left w:val="nil"/>
              <w:bottom w:val="nil"/>
              <w:right w:val="nil"/>
            </w:tcBorders>
          </w:tcPr>
          <w:p>
            <w:pPr>
              <w:pStyle w:val="0"/>
              <w:jc w:val="center"/>
            </w:pPr>
            <w:r>
              <w:rPr>
                <w:sz w:val="24"/>
              </w:rPr>
              <w:t xml:space="preserve">индивидуального предпринимателя, их уполномоченных представителей)</w:t>
            </w:r>
          </w:p>
        </w:tc>
      </w:tr>
      <w:tr>
        <w:tc>
          <w:tcPr>
            <w:gridSpan w:val="6"/>
            <w:tcW w:w="9070" w:type="dxa"/>
            <w:tcBorders>
              <w:top w:val="nil"/>
              <w:left w:val="nil"/>
              <w:bottom w:val="nil"/>
              <w:right w:val="nil"/>
            </w:tcBorders>
          </w:tcPr>
          <w:p>
            <w:pPr>
              <w:pStyle w:val="0"/>
              <w:jc w:val="both"/>
            </w:pPr>
            <w:r>
              <w:rPr>
                <w:sz w:val="24"/>
              </w:rPr>
              <w:t xml:space="preserve">в соответствии со </w:t>
            </w:r>
            <w:hyperlink w:history="0" r:id="rId5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82</w:t>
              </w:r>
            </w:hyperlink>
            <w:r>
              <w:rPr>
                <w:sz w:val="24"/>
              </w:rPr>
              <w:t xml:space="preserve"> Федерального закона "О государственном контроле (надзоре) и муниципальном контроле в Российской Федерации" проведено инструментальное обследование следующих аттракционов: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20"/>
        <w:gridCol w:w="1636"/>
        <w:gridCol w:w="964"/>
        <w:gridCol w:w="1417"/>
        <w:gridCol w:w="1644"/>
        <w:gridCol w:w="1960"/>
      </w:tblGrid>
      <w:tr>
        <w:tc>
          <w:tcPr>
            <w:tcW w:w="1420" w:type="dxa"/>
          </w:tcPr>
          <w:p>
            <w:pPr>
              <w:pStyle w:val="0"/>
              <w:jc w:val="center"/>
            </w:pPr>
            <w:r>
              <w:rPr>
                <w:sz w:val="24"/>
              </w:rPr>
              <w:t xml:space="preserve">Вид, марка, тип аттракциона</w:t>
            </w:r>
          </w:p>
        </w:tc>
        <w:tc>
          <w:tcPr>
            <w:tcW w:w="1636" w:type="dxa"/>
          </w:tcPr>
          <w:p>
            <w:pPr>
              <w:pStyle w:val="0"/>
              <w:jc w:val="center"/>
            </w:pPr>
            <w:r>
              <w:rPr>
                <w:sz w:val="24"/>
              </w:rPr>
              <w:t xml:space="preserve">Наименование аттракциона</w:t>
            </w:r>
          </w:p>
        </w:tc>
        <w:tc>
          <w:tcPr>
            <w:tcW w:w="964" w:type="dxa"/>
          </w:tcPr>
          <w:p>
            <w:pPr>
              <w:pStyle w:val="0"/>
              <w:jc w:val="center"/>
            </w:pPr>
            <w:r>
              <w:rPr>
                <w:sz w:val="24"/>
              </w:rPr>
              <w:t xml:space="preserve">Год выпуска</w:t>
            </w:r>
          </w:p>
        </w:tc>
        <w:tc>
          <w:tcPr>
            <w:tcW w:w="1417" w:type="dxa"/>
          </w:tcPr>
          <w:p>
            <w:pPr>
              <w:pStyle w:val="0"/>
              <w:jc w:val="center"/>
            </w:pPr>
            <w:r>
              <w:rPr>
                <w:sz w:val="24"/>
              </w:rPr>
              <w:t xml:space="preserve">Заводской номер, идентификационный номер</w:t>
            </w:r>
          </w:p>
        </w:tc>
        <w:tc>
          <w:tcPr>
            <w:tcW w:w="1644" w:type="dxa"/>
          </w:tcPr>
          <w:p>
            <w:pPr>
              <w:pStyle w:val="0"/>
              <w:jc w:val="center"/>
            </w:pPr>
            <w:r>
              <w:rPr>
                <w:sz w:val="24"/>
              </w:rPr>
              <w:t xml:space="preserve">Степень потенциального биомеханического риска</w:t>
            </w:r>
          </w:p>
        </w:tc>
        <w:tc>
          <w:tcPr>
            <w:tcW w:w="1960" w:type="dxa"/>
          </w:tcPr>
          <w:p>
            <w:pPr>
              <w:pStyle w:val="0"/>
              <w:jc w:val="center"/>
            </w:pPr>
            <w:r>
              <w:rPr>
                <w:sz w:val="24"/>
              </w:rPr>
              <w:t xml:space="preserve">Государственный регистрационный знак (при наличии)</w:t>
            </w:r>
          </w:p>
        </w:tc>
      </w:tr>
      <w:tr>
        <w:tc>
          <w:tcPr>
            <w:tcW w:w="1420" w:type="dxa"/>
          </w:tcPr>
          <w:p>
            <w:pPr>
              <w:pStyle w:val="0"/>
            </w:pPr>
            <w:r>
              <w:rPr>
                <w:sz w:val="24"/>
              </w:rPr>
            </w:r>
          </w:p>
        </w:tc>
        <w:tc>
          <w:tcPr>
            <w:tcW w:w="1636" w:type="dxa"/>
          </w:tcPr>
          <w:p>
            <w:pPr>
              <w:pStyle w:val="0"/>
            </w:pPr>
            <w:r>
              <w:rPr>
                <w:sz w:val="24"/>
              </w:rPr>
            </w:r>
          </w:p>
        </w:tc>
        <w:tc>
          <w:tcPr>
            <w:tcW w:w="964" w:type="dxa"/>
          </w:tcPr>
          <w:p>
            <w:pPr>
              <w:pStyle w:val="0"/>
            </w:pPr>
            <w:r>
              <w:rPr>
                <w:sz w:val="24"/>
              </w:rPr>
            </w:r>
          </w:p>
        </w:tc>
        <w:tc>
          <w:tcPr>
            <w:tcW w:w="1417" w:type="dxa"/>
          </w:tcPr>
          <w:p>
            <w:pPr>
              <w:pStyle w:val="0"/>
            </w:pPr>
            <w:r>
              <w:rPr>
                <w:sz w:val="24"/>
              </w:rPr>
            </w:r>
          </w:p>
        </w:tc>
        <w:tc>
          <w:tcPr>
            <w:tcW w:w="1644" w:type="dxa"/>
          </w:tcPr>
          <w:p>
            <w:pPr>
              <w:pStyle w:val="0"/>
            </w:pPr>
            <w:r>
              <w:rPr>
                <w:sz w:val="24"/>
              </w:rPr>
            </w:r>
          </w:p>
        </w:tc>
        <w:tc>
          <w:tcPr>
            <w:tcW w:w="1960" w:type="dxa"/>
          </w:tcPr>
          <w:p>
            <w:pPr>
              <w:pStyle w:val="0"/>
            </w:pPr>
            <w:r>
              <w:rPr>
                <w:sz w:val="24"/>
              </w:rPr>
            </w:r>
          </w:p>
        </w:tc>
      </w:tr>
      <w:tr>
        <w:tc>
          <w:tcPr>
            <w:tcW w:w="1420" w:type="dxa"/>
          </w:tcPr>
          <w:p>
            <w:pPr>
              <w:pStyle w:val="0"/>
            </w:pPr>
            <w:r>
              <w:rPr>
                <w:sz w:val="24"/>
              </w:rPr>
            </w:r>
          </w:p>
        </w:tc>
        <w:tc>
          <w:tcPr>
            <w:tcW w:w="1636" w:type="dxa"/>
          </w:tcPr>
          <w:p>
            <w:pPr>
              <w:pStyle w:val="0"/>
            </w:pPr>
            <w:r>
              <w:rPr>
                <w:sz w:val="24"/>
              </w:rPr>
            </w:r>
          </w:p>
        </w:tc>
        <w:tc>
          <w:tcPr>
            <w:tcW w:w="964" w:type="dxa"/>
          </w:tcPr>
          <w:p>
            <w:pPr>
              <w:pStyle w:val="0"/>
            </w:pPr>
            <w:r>
              <w:rPr>
                <w:sz w:val="24"/>
              </w:rPr>
            </w:r>
          </w:p>
        </w:tc>
        <w:tc>
          <w:tcPr>
            <w:tcW w:w="1417" w:type="dxa"/>
          </w:tcPr>
          <w:p>
            <w:pPr>
              <w:pStyle w:val="0"/>
            </w:pPr>
            <w:r>
              <w:rPr>
                <w:sz w:val="24"/>
              </w:rPr>
            </w:r>
          </w:p>
        </w:tc>
        <w:tc>
          <w:tcPr>
            <w:tcW w:w="1644" w:type="dxa"/>
          </w:tcPr>
          <w:p>
            <w:pPr>
              <w:pStyle w:val="0"/>
            </w:pPr>
            <w:r>
              <w:rPr>
                <w:sz w:val="24"/>
              </w:rPr>
            </w:r>
          </w:p>
        </w:tc>
        <w:tc>
          <w:tcPr>
            <w:tcW w:w="1960"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8617"/>
        <w:gridCol w:w="454"/>
      </w:tblGrid>
      <w:tr>
        <w:tc>
          <w:tcPr>
            <w:gridSpan w:val="2"/>
            <w:tcW w:w="9071" w:type="dxa"/>
            <w:tcBorders>
              <w:top w:val="nil"/>
              <w:left w:val="nil"/>
              <w:bottom w:val="nil"/>
              <w:right w:val="nil"/>
            </w:tcBorders>
          </w:tcPr>
          <w:p>
            <w:pPr>
              <w:pStyle w:val="0"/>
            </w:pPr>
            <w:r>
              <w:rPr>
                <w:sz w:val="24"/>
              </w:rPr>
              <w:t xml:space="preserve">2. Используемые специальное оборудование и (или) технические приборы:</w:t>
            </w:r>
          </w:p>
        </w:tc>
      </w:tr>
      <w:tr>
        <w:tc>
          <w:tcPr>
            <w:tcW w:w="8617" w:type="dxa"/>
            <w:tcBorders>
              <w:top w:val="nil"/>
              <w:left w:val="nil"/>
              <w:bottom w:val="single" w:sz="4"/>
              <w:right w:val="nil"/>
            </w:tcBorders>
          </w:tcPr>
          <w:p>
            <w:pPr>
              <w:pStyle w:val="0"/>
            </w:pPr>
            <w:r>
              <w:rPr>
                <w:sz w:val="24"/>
              </w:rPr>
            </w:r>
          </w:p>
        </w:tc>
        <w:tc>
          <w:tcPr>
            <w:tcW w:w="454" w:type="dxa"/>
            <w:vAlign w:val="center"/>
            <w:tcBorders>
              <w:top w:val="nil"/>
              <w:left w:val="nil"/>
              <w:bottom w:val="nil"/>
              <w:right w:val="nil"/>
            </w:tcBorders>
          </w:tcPr>
          <w:p>
            <w:pPr>
              <w:pStyle w:val="0"/>
              <w:jc w:val="both"/>
            </w:pPr>
            <w:r>
              <w:rPr>
                <w:sz w:val="24"/>
              </w:rPr>
              <w:t xml:space="preserve">.</w:t>
            </w:r>
          </w:p>
        </w:tc>
      </w:tr>
      <w:tr>
        <w:tc>
          <w:tcPr>
            <w:tcW w:w="8617" w:type="dxa"/>
            <w:tcBorders>
              <w:top w:val="single" w:sz="4"/>
              <w:left w:val="nil"/>
              <w:bottom w:val="nil"/>
              <w:right w:val="nil"/>
            </w:tcBorders>
          </w:tcPr>
          <w:p>
            <w:pPr>
              <w:pStyle w:val="0"/>
              <w:jc w:val="center"/>
            </w:pPr>
            <w:r>
              <w:rPr>
                <w:sz w:val="24"/>
              </w:rPr>
              <w:t xml:space="preserve">(указать наименование, марку (модель), дату поверки)</w:t>
            </w:r>
          </w:p>
        </w:tc>
        <w:tc>
          <w:tcPr>
            <w:tcW w:w="454" w:type="dxa"/>
            <w:tcBorders>
              <w:top w:val="nil"/>
              <w:left w:val="nil"/>
              <w:bottom w:val="nil"/>
              <w:right w:val="nil"/>
            </w:tcBorders>
          </w:tcPr>
          <w:p>
            <w:pPr>
              <w:pStyle w:val="0"/>
            </w:pPr>
            <w:r>
              <w:rPr>
                <w:sz w:val="24"/>
              </w:rPr>
            </w:r>
          </w:p>
        </w:tc>
      </w:tr>
      <w:tr>
        <w:tc>
          <w:tcPr>
            <w:tcW w:w="8617" w:type="dxa"/>
            <w:vAlign w:val="center"/>
            <w:tcBorders>
              <w:top w:val="nil"/>
              <w:left w:val="nil"/>
              <w:bottom w:val="nil"/>
              <w:right w:val="nil"/>
            </w:tcBorders>
          </w:tcPr>
          <w:p>
            <w:pPr>
              <w:pStyle w:val="0"/>
            </w:pPr>
            <w:r>
              <w:rPr>
                <w:sz w:val="24"/>
              </w:rPr>
              <w:t xml:space="preserve">3. Методики инструментального обследования:</w:t>
            </w:r>
          </w:p>
        </w:tc>
        <w:tc>
          <w:tcPr>
            <w:tcW w:w="454" w:type="dxa"/>
            <w:tcBorders>
              <w:top w:val="nil"/>
              <w:left w:val="nil"/>
              <w:bottom w:val="single" w:sz="4"/>
              <w:right w:val="nil"/>
            </w:tcBorders>
          </w:tcPr>
          <w:p>
            <w:pPr>
              <w:pStyle w:val="0"/>
            </w:pPr>
            <w:r>
              <w:rPr>
                <w:sz w:val="24"/>
              </w:rPr>
            </w:r>
          </w:p>
        </w:tc>
      </w:tr>
      <w:tr>
        <w:tc>
          <w:tcPr>
            <w:tcW w:w="8617" w:type="dxa"/>
            <w:tcBorders>
              <w:top w:val="nil"/>
              <w:left w:val="nil"/>
              <w:bottom w:val="single" w:sz="4"/>
              <w:right w:val="nil"/>
            </w:tcBorders>
          </w:tcPr>
          <w:p>
            <w:pPr>
              <w:pStyle w:val="0"/>
            </w:pPr>
            <w:r>
              <w:rPr>
                <w:sz w:val="24"/>
              </w:rPr>
            </w:r>
          </w:p>
        </w:tc>
        <w:tc>
          <w:tcPr>
            <w:tcW w:w="454" w:type="dxa"/>
            <w:vAlign w:val="center"/>
            <w:tcBorders>
              <w:top w:val="single" w:sz="4"/>
              <w:left w:val="nil"/>
              <w:bottom w:val="nil"/>
              <w:right w:val="nil"/>
            </w:tcBorders>
          </w:tcPr>
          <w:p>
            <w:pPr>
              <w:pStyle w:val="0"/>
              <w:jc w:val="both"/>
            </w:pPr>
            <w:r>
              <w:rPr>
                <w:sz w:val="24"/>
              </w:rPr>
              <w:t xml:space="preserve">.</w:t>
            </w:r>
          </w:p>
        </w:tc>
      </w:tr>
      <w:tr>
        <w:tc>
          <w:tcPr>
            <w:tcW w:w="8617" w:type="dxa"/>
            <w:tcBorders>
              <w:top w:val="single" w:sz="4"/>
              <w:left w:val="nil"/>
              <w:bottom w:val="nil"/>
              <w:right w:val="nil"/>
            </w:tcBorders>
          </w:tcPr>
          <w:p>
            <w:pPr>
              <w:pStyle w:val="0"/>
              <w:jc w:val="center"/>
            </w:pPr>
            <w:r>
              <w:rPr>
                <w:sz w:val="24"/>
              </w:rPr>
              <w:t xml:space="preserve">(указать наименование)</w:t>
            </w:r>
          </w:p>
        </w:tc>
        <w:tc>
          <w:tcPr>
            <w:tcW w:w="454" w:type="dxa"/>
            <w:tcBorders>
              <w:top w:val="nil"/>
              <w:left w:val="nil"/>
              <w:bottom w:val="nil"/>
              <w:right w:val="nil"/>
            </w:tcBorders>
          </w:tcPr>
          <w:p>
            <w:pPr>
              <w:pStyle w:val="0"/>
            </w:pPr>
            <w:r>
              <w:rPr>
                <w:sz w:val="24"/>
              </w:rPr>
            </w:r>
          </w:p>
        </w:tc>
      </w:tr>
      <w:tr>
        <w:tc>
          <w:tcPr>
            <w:gridSpan w:val="2"/>
            <w:tcW w:w="9071" w:type="dxa"/>
            <w:tcBorders>
              <w:top w:val="nil"/>
              <w:left w:val="nil"/>
              <w:bottom w:val="nil"/>
              <w:right w:val="nil"/>
            </w:tcBorders>
          </w:tcPr>
          <w:p>
            <w:pPr>
              <w:pStyle w:val="0"/>
            </w:pPr>
            <w:r>
              <w:rPr>
                <w:sz w:val="24"/>
              </w:rPr>
              <w:t xml:space="preserve">4. Результат инструментального обследования:</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14"/>
        <w:gridCol w:w="3758"/>
        <w:gridCol w:w="1388"/>
      </w:tblGrid>
      <w:tr>
        <w:tc>
          <w:tcPr>
            <w:tcW w:w="3914" w:type="dxa"/>
          </w:tcPr>
          <w:p>
            <w:pPr>
              <w:pStyle w:val="0"/>
              <w:jc w:val="center"/>
            </w:pPr>
            <w:r>
              <w:rPr>
                <w:sz w:val="24"/>
              </w:rPr>
              <w:t xml:space="preserve">Нормируемое значение</w:t>
            </w:r>
          </w:p>
        </w:tc>
        <w:tc>
          <w:tcPr>
            <w:tcW w:w="3758" w:type="dxa"/>
          </w:tcPr>
          <w:p>
            <w:pPr>
              <w:pStyle w:val="0"/>
              <w:jc w:val="center"/>
            </w:pPr>
            <w:r>
              <w:rPr>
                <w:sz w:val="24"/>
              </w:rPr>
              <w:t xml:space="preserve">Фактическое значение</w:t>
            </w:r>
          </w:p>
        </w:tc>
        <w:tc>
          <w:tcPr>
            <w:tcW w:w="1388" w:type="dxa"/>
          </w:tcPr>
          <w:p>
            <w:pPr>
              <w:pStyle w:val="0"/>
              <w:jc w:val="center"/>
            </w:pPr>
            <w:r>
              <w:rPr>
                <w:sz w:val="24"/>
              </w:rPr>
              <w:t xml:space="preserve">Выводы</w:t>
            </w:r>
          </w:p>
        </w:tc>
      </w:tr>
      <w:tr>
        <w:tc>
          <w:tcPr>
            <w:tcW w:w="3914" w:type="dxa"/>
          </w:tcPr>
          <w:p>
            <w:pPr>
              <w:pStyle w:val="0"/>
            </w:pPr>
            <w:r>
              <w:rPr>
                <w:sz w:val="24"/>
              </w:rPr>
            </w:r>
          </w:p>
        </w:tc>
        <w:tc>
          <w:tcPr>
            <w:tcW w:w="3758" w:type="dxa"/>
          </w:tcPr>
          <w:p>
            <w:pPr>
              <w:pStyle w:val="0"/>
            </w:pPr>
            <w:r>
              <w:rPr>
                <w:sz w:val="24"/>
              </w:rPr>
            </w:r>
          </w:p>
        </w:tc>
        <w:tc>
          <w:tcPr>
            <w:tcW w:w="1388" w:type="dxa"/>
          </w:tcPr>
          <w:p>
            <w:pPr>
              <w:pStyle w:val="0"/>
            </w:pPr>
            <w:r>
              <w:rPr>
                <w:sz w:val="24"/>
              </w:rPr>
            </w:r>
          </w:p>
        </w:tc>
      </w:tr>
      <w:tr>
        <w:tc>
          <w:tcPr>
            <w:tcW w:w="3914" w:type="dxa"/>
          </w:tcPr>
          <w:p>
            <w:pPr>
              <w:pStyle w:val="0"/>
            </w:pPr>
            <w:r>
              <w:rPr>
                <w:sz w:val="24"/>
              </w:rPr>
            </w:r>
          </w:p>
        </w:tc>
        <w:tc>
          <w:tcPr>
            <w:tcW w:w="3758" w:type="dxa"/>
          </w:tcPr>
          <w:p>
            <w:pPr>
              <w:pStyle w:val="0"/>
            </w:pPr>
            <w:r>
              <w:rPr>
                <w:sz w:val="24"/>
              </w:rPr>
            </w:r>
          </w:p>
        </w:tc>
        <w:tc>
          <w:tcPr>
            <w:tcW w:w="1388"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7313"/>
        <w:gridCol w:w="340"/>
        <w:gridCol w:w="794"/>
        <w:gridCol w:w="567"/>
      </w:tblGrid>
      <w:tr>
        <w:tc>
          <w:tcPr>
            <w:gridSpan w:val="3"/>
            <w:tcW w:w="8447" w:type="dxa"/>
            <w:vAlign w:val="center"/>
            <w:tcBorders>
              <w:top w:val="nil"/>
              <w:left w:val="nil"/>
              <w:bottom w:val="nil"/>
              <w:right w:val="nil"/>
            </w:tcBorders>
          </w:tcPr>
          <w:p>
            <w:pPr>
              <w:pStyle w:val="0"/>
            </w:pPr>
            <w:r>
              <w:rPr>
                <w:sz w:val="24"/>
              </w:rPr>
              <w:t xml:space="preserve">5. Иные сведения:</w:t>
            </w:r>
          </w:p>
        </w:tc>
        <w:tc>
          <w:tcPr>
            <w:tcW w:w="567" w:type="dxa"/>
            <w:tcBorders>
              <w:top w:val="nil"/>
              <w:left w:val="nil"/>
              <w:bottom w:val="single" w:sz="4"/>
              <w:right w:val="nil"/>
            </w:tcBorders>
          </w:tcPr>
          <w:p>
            <w:pPr>
              <w:pStyle w:val="0"/>
            </w:pPr>
            <w:r>
              <w:rPr>
                <w:sz w:val="24"/>
              </w:rPr>
            </w:r>
          </w:p>
        </w:tc>
      </w:tr>
      <w:tr>
        <w:tc>
          <w:tcPr>
            <w:gridSpan w:val="3"/>
            <w:tcW w:w="8447" w:type="dxa"/>
            <w:tcBorders>
              <w:top w:val="nil"/>
              <w:left w:val="nil"/>
              <w:bottom w:val="single" w:sz="4"/>
              <w:right w:val="nil"/>
            </w:tcBorders>
          </w:tcPr>
          <w:p>
            <w:pPr>
              <w:pStyle w:val="0"/>
            </w:pPr>
            <w:r>
              <w:rPr>
                <w:sz w:val="24"/>
              </w:rPr>
            </w:r>
          </w:p>
        </w:tc>
        <w:tc>
          <w:tcPr>
            <w:tcW w:w="567" w:type="dxa"/>
            <w:vAlign w:val="center"/>
            <w:tcBorders>
              <w:top w:val="single" w:sz="4"/>
              <w:left w:val="nil"/>
              <w:bottom w:val="nil"/>
              <w:right w:val="nil"/>
            </w:tcBorders>
          </w:tcPr>
          <w:p>
            <w:pPr>
              <w:pStyle w:val="0"/>
              <w:jc w:val="both"/>
            </w:pPr>
            <w:r>
              <w:rPr>
                <w:sz w:val="24"/>
              </w:rPr>
              <w:t xml:space="preserve">.</w:t>
            </w:r>
          </w:p>
        </w:tc>
      </w:tr>
      <w:tr>
        <w:tc>
          <w:tcPr>
            <w:gridSpan w:val="3"/>
            <w:tcW w:w="8447" w:type="dxa"/>
            <w:vAlign w:val="center"/>
            <w:tcBorders>
              <w:top w:val="single" w:sz="4"/>
              <w:left w:val="nil"/>
              <w:bottom w:val="nil"/>
              <w:right w:val="nil"/>
            </w:tcBorders>
          </w:tcPr>
          <w:p>
            <w:pPr>
              <w:pStyle w:val="0"/>
              <w:jc w:val="center"/>
            </w:pPr>
            <w:r>
              <w:rPr>
                <w:sz w:val="24"/>
              </w:rPr>
              <w:t xml:space="preserve">(указать сведения, имеющие значение для оценки результатов инструментального обследования)</w:t>
            </w:r>
          </w:p>
        </w:tc>
        <w:tc>
          <w:tcPr>
            <w:tcW w:w="567" w:type="dxa"/>
            <w:tcBorders>
              <w:top w:val="nil"/>
              <w:left w:val="nil"/>
              <w:bottom w:val="nil"/>
              <w:right w:val="nil"/>
            </w:tcBorders>
          </w:tcPr>
          <w:p>
            <w:pPr>
              <w:pStyle w:val="0"/>
            </w:pPr>
            <w:r>
              <w:rPr>
                <w:sz w:val="24"/>
              </w:rPr>
            </w:r>
          </w:p>
        </w:tc>
      </w:tr>
      <w:tr>
        <w:tc>
          <w:tcPr>
            <w:gridSpan w:val="4"/>
            <w:tcW w:w="9014" w:type="dxa"/>
            <w:vAlign w:val="center"/>
            <w:tcBorders>
              <w:top w:val="nil"/>
              <w:left w:val="nil"/>
              <w:bottom w:val="nil"/>
              <w:right w:val="nil"/>
            </w:tcBorders>
          </w:tcPr>
          <w:p>
            <w:pPr>
              <w:pStyle w:val="0"/>
            </w:pPr>
            <w:r>
              <w:rPr>
                <w:sz w:val="24"/>
              </w:rPr>
              <w:t xml:space="preserve">6. Инструментальное обследование проведено:</w:t>
            </w:r>
          </w:p>
        </w:tc>
      </w:tr>
      <w:tr>
        <w:tc>
          <w:tcPr>
            <w:tcW w:w="7313"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1361" w:type="dxa"/>
            <w:tcBorders>
              <w:top w:val="nil"/>
              <w:left w:val="nil"/>
              <w:bottom w:val="single" w:sz="4"/>
              <w:right w:val="nil"/>
            </w:tcBorders>
          </w:tcPr>
          <w:p>
            <w:pPr>
              <w:pStyle w:val="0"/>
            </w:pPr>
            <w:r>
              <w:rPr>
                <w:sz w:val="24"/>
              </w:rPr>
            </w:r>
          </w:p>
        </w:tc>
      </w:tr>
      <w:tr>
        <w:tc>
          <w:tcPr>
            <w:tcW w:w="7313"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аттракционов, или специалиста)</w:t>
            </w:r>
          </w:p>
        </w:tc>
        <w:tc>
          <w:tcPr>
            <w:tcW w:w="340" w:type="dxa"/>
            <w:tcBorders>
              <w:top w:val="nil"/>
              <w:left w:val="nil"/>
              <w:bottom w:val="nil"/>
              <w:right w:val="nil"/>
            </w:tcBorders>
          </w:tcPr>
          <w:p>
            <w:pPr>
              <w:pStyle w:val="0"/>
            </w:pPr>
            <w:r>
              <w:rPr>
                <w:sz w:val="24"/>
              </w:rPr>
            </w:r>
          </w:p>
        </w:tc>
        <w:tc>
          <w:tcPr>
            <w:gridSpan w:val="2"/>
            <w:tcW w:w="1361" w:type="dxa"/>
            <w:tcBorders>
              <w:top w:val="single" w:sz="4"/>
              <w:left w:val="nil"/>
              <w:bottom w:val="nil"/>
              <w:right w:val="nil"/>
            </w:tcBorders>
          </w:tcPr>
          <w:p>
            <w:pPr>
              <w:pStyle w:val="0"/>
              <w:jc w:val="center"/>
            </w:pPr>
            <w:r>
              <w:rPr>
                <w:sz w:val="24"/>
              </w:rPr>
              <w:t xml:space="preserve">(подпись)</w:t>
            </w:r>
          </w:p>
        </w:tc>
      </w:tr>
      <w:tr>
        <w:tc>
          <w:tcPr>
            <w:tcW w:w="7313"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1361" w:type="dxa"/>
            <w:tcBorders>
              <w:top w:val="nil"/>
              <w:left w:val="nil"/>
              <w:bottom w:val="single" w:sz="4"/>
              <w:right w:val="nil"/>
            </w:tcBorders>
          </w:tcPr>
          <w:p>
            <w:pPr>
              <w:pStyle w:val="0"/>
            </w:pPr>
            <w:r>
              <w:rPr>
                <w:sz w:val="24"/>
              </w:rPr>
            </w:r>
          </w:p>
        </w:tc>
      </w:tr>
      <w:tr>
        <w:tc>
          <w:tcPr>
            <w:tcW w:w="7313"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аттракционов, или специалиста)</w:t>
            </w:r>
          </w:p>
        </w:tc>
        <w:tc>
          <w:tcPr>
            <w:tcW w:w="340" w:type="dxa"/>
            <w:tcBorders>
              <w:top w:val="nil"/>
              <w:left w:val="nil"/>
              <w:bottom w:val="nil"/>
              <w:right w:val="nil"/>
            </w:tcBorders>
          </w:tcPr>
          <w:p>
            <w:pPr>
              <w:pStyle w:val="0"/>
            </w:pPr>
            <w:r>
              <w:rPr>
                <w:sz w:val="24"/>
              </w:rPr>
            </w:r>
          </w:p>
        </w:tc>
        <w:tc>
          <w:tcPr>
            <w:gridSpan w:val="2"/>
            <w:tcW w:w="1361" w:type="dxa"/>
            <w:tcBorders>
              <w:top w:val="single" w:sz="4"/>
              <w:left w:val="nil"/>
              <w:bottom w:val="nil"/>
              <w:right w:val="nil"/>
            </w:tcBorders>
          </w:tcPr>
          <w:p>
            <w:pPr>
              <w:pStyle w:val="0"/>
              <w:jc w:val="center"/>
            </w:pPr>
            <w:r>
              <w:rPr>
                <w:sz w:val="24"/>
              </w:rPr>
              <w:t xml:space="preserve">(подпись)</w:t>
            </w:r>
          </w:p>
        </w:tc>
      </w:tr>
      <w:tr>
        <w:tc>
          <w:tcPr>
            <w:tcW w:w="7313"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gridSpan w:val="2"/>
            <w:tcW w:w="1361"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Брянской области от 31.07.2023 N 349-п</w:t>
            <w:br/>
            <w:t>(ред. от 24.08.2026)</w:t>
            <w:br/>
            <w:t>"Об утверждении Положения о реги...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01&amp;n=78381&amp;date=15.09.2026&amp;dst=100005&amp;field=134" TargetMode = "External"/><Relationship Id="rId9" Type="http://schemas.openxmlformats.org/officeDocument/2006/relationships/hyperlink" Target="https://login.consultant.ru/link/?req=doc&amp;base=RLAW201&amp;n=86167&amp;date=15.09.2026&amp;dst=100005&amp;field=134" TargetMode = "External"/><Relationship Id="rId10" Type="http://schemas.openxmlformats.org/officeDocument/2006/relationships/hyperlink" Target="https://login.consultant.ru/link/?req=doc&amp;base=RLAW201&amp;n=90557&amp;date=15.09.2026&amp;dst=100005&amp;field=134" TargetMode = "External"/><Relationship Id="rId11" Type="http://schemas.openxmlformats.org/officeDocument/2006/relationships/hyperlink" Target="https://login.consultant.ru/link/?req=doc&amp;base=LAW&amp;n=541082&amp;date=15.09.2026&amp;dst=100087&amp;field=134" TargetMode = "External"/><Relationship Id="rId12" Type="http://schemas.openxmlformats.org/officeDocument/2006/relationships/hyperlink" Target="https://login.consultant.ru/link/?req=doc&amp;base=RLAW201&amp;n=75650&amp;date=15.09.2026&amp;dst=100008&amp;field=134" TargetMode = "External"/><Relationship Id="rId13" Type="http://schemas.openxmlformats.org/officeDocument/2006/relationships/hyperlink" Target="https://login.consultant.ru/link/?req=doc&amp;base=RLAW201&amp;n=90557&amp;date=15.09.2026&amp;dst=100005&amp;field=134" TargetMode = "External"/><Relationship Id="rId14" Type="http://schemas.openxmlformats.org/officeDocument/2006/relationships/hyperlink" Target="https://login.consultant.ru/link/?req=doc&amp;base=LAW&amp;n=541082&amp;date=15.09.2026&amp;dst=100315&amp;field=134" TargetMode = "External"/><Relationship Id="rId15" Type="http://schemas.openxmlformats.org/officeDocument/2006/relationships/hyperlink" Target="https://login.consultant.ru/link/?req=doc&amp;base=LAW&amp;n=541082&amp;date=15.09.2026" TargetMode = "External"/><Relationship Id="rId16" Type="http://schemas.openxmlformats.org/officeDocument/2006/relationships/hyperlink" Target="https://login.consultant.ru/link/?req=doc&amp;base=LAW&amp;n=524704&amp;date=15.09.2026" TargetMode = "External"/><Relationship Id="rId17" Type="http://schemas.openxmlformats.org/officeDocument/2006/relationships/hyperlink" Target="https://login.consultant.ru/link/?req=doc&amp;base=LAW&amp;n=209468&amp;date=15.09.2026&amp;dst=100015&amp;field=134" TargetMode = "External"/><Relationship Id="rId18" Type="http://schemas.openxmlformats.org/officeDocument/2006/relationships/hyperlink" Target="https://login.consultant.ru/link/?req=doc&amp;base=LAW&amp;n=521885&amp;date=15.09.2026" TargetMode = "External"/><Relationship Id="rId19" Type="http://schemas.openxmlformats.org/officeDocument/2006/relationships/hyperlink" Target="https://login.consultant.ru/link/?req=doc&amp;base=LAW&amp;n=516061&amp;date=15.09.2026&amp;dst=100009&amp;field=134" TargetMode = "External"/><Relationship Id="rId20" Type="http://schemas.openxmlformats.org/officeDocument/2006/relationships/hyperlink" Target="https://login.consultant.ru/link/?req=doc&amp;base=LAW&amp;n=541082&amp;date=15.09.2026&amp;dst=100487&amp;field=134" TargetMode = "External"/><Relationship Id="rId21" Type="http://schemas.openxmlformats.org/officeDocument/2006/relationships/hyperlink" Target="https://login.consultant.ru/link/?req=doc&amp;base=LAW&amp;n=541082&amp;date=15.09.2026&amp;dst=100509&amp;field=134" TargetMode = "External"/><Relationship Id="rId22" Type="http://schemas.openxmlformats.org/officeDocument/2006/relationships/hyperlink" Target="https://login.consultant.ru/link/?req=doc&amp;base=LAW&amp;n=541082&amp;date=15.09.2026&amp;dst=100529&amp;field=134" TargetMode = "External"/><Relationship Id="rId23" Type="http://schemas.openxmlformats.org/officeDocument/2006/relationships/hyperlink" Target="https://login.consultant.ru/link/?req=doc&amp;base=LAW&amp;n=541082&amp;date=15.09.2026&amp;dst=100547&amp;field=134" TargetMode = "External"/><Relationship Id="rId24" Type="http://schemas.openxmlformats.org/officeDocument/2006/relationships/hyperlink" Target="https://login.consultant.ru/link/?req=doc&amp;base=LAW&amp;n=541082&amp;date=15.09.2026&amp;dst=101131&amp;field=134" TargetMode = "External"/><Relationship Id="rId25" Type="http://schemas.openxmlformats.org/officeDocument/2006/relationships/hyperlink" Target="https://login.consultant.ru/link/?req=doc&amp;base=LAW&amp;n=541082&amp;date=15.09.2026&amp;dst=100553&amp;field=134" TargetMode = "External"/><Relationship Id="rId26" Type="http://schemas.openxmlformats.org/officeDocument/2006/relationships/hyperlink" Target="https://login.consultant.ru/link/?req=doc&amp;base=LAW&amp;n=494960&amp;date=15.09.2026" TargetMode = "External"/><Relationship Id="rId27" Type="http://schemas.openxmlformats.org/officeDocument/2006/relationships/hyperlink" Target="https://login.consultant.ru/link/?req=doc&amp;base=LAW&amp;n=541082&amp;date=15.09.2026&amp;dst=101368&amp;field=134" TargetMode = "External"/><Relationship Id="rId28" Type="http://schemas.openxmlformats.org/officeDocument/2006/relationships/hyperlink" Target="https://login.consultant.ru/link/?req=doc&amp;base=LAW&amp;n=541082&amp;date=15.09.2026&amp;dst=101371&amp;field=134" TargetMode = "External"/><Relationship Id="rId29" Type="http://schemas.openxmlformats.org/officeDocument/2006/relationships/hyperlink" Target="https://login.consultant.ru/link/?req=doc&amp;base=LAW&amp;n=541082&amp;date=15.09.2026&amp;dst=101368&amp;field=134" TargetMode = "External"/><Relationship Id="rId30" Type="http://schemas.openxmlformats.org/officeDocument/2006/relationships/hyperlink" Target="https://login.consultant.ru/link/?req=doc&amp;base=LAW&amp;n=541082&amp;date=15.09.2026&amp;dst=101371&amp;field=134" TargetMode = "External"/><Relationship Id="rId31" Type="http://schemas.openxmlformats.org/officeDocument/2006/relationships/hyperlink" Target="https://login.consultant.ru/link/?req=doc&amp;base=LAW&amp;n=541082&amp;date=15.09.2026&amp;dst=101375&amp;field=134" TargetMode = "External"/><Relationship Id="rId32" Type="http://schemas.openxmlformats.org/officeDocument/2006/relationships/hyperlink" Target="https://login.consultant.ru/link/?req=doc&amp;base=LAW&amp;n=541082&amp;date=15.09.2026&amp;dst=101391&amp;field=134" TargetMode = "External"/><Relationship Id="rId33" Type="http://schemas.openxmlformats.org/officeDocument/2006/relationships/hyperlink" Target="https://login.consultant.ru/link/?req=doc&amp;base=LAW&amp;n=541082&amp;date=15.09.2026&amp;dst=101409&amp;field=134" TargetMode = "External"/><Relationship Id="rId34" Type="http://schemas.openxmlformats.org/officeDocument/2006/relationships/hyperlink" Target="https://login.consultant.ru/link/?req=doc&amp;base=LAW&amp;n=541082&amp;date=15.09.2026&amp;dst=101410&amp;field=134" TargetMode = "External"/><Relationship Id="rId35" Type="http://schemas.openxmlformats.org/officeDocument/2006/relationships/hyperlink" Target="https://login.consultant.ru/link/?req=doc&amp;base=LAW&amp;n=541082&amp;date=15.09.2026&amp;dst=100638&amp;field=134" TargetMode = "External"/><Relationship Id="rId36" Type="http://schemas.openxmlformats.org/officeDocument/2006/relationships/hyperlink" Target="https://login.consultant.ru/link/?req=doc&amp;base=LAW&amp;n=541082&amp;date=15.09.2026&amp;dst=101411&amp;field=134" TargetMode = "External"/><Relationship Id="rId37" Type="http://schemas.openxmlformats.org/officeDocument/2006/relationships/hyperlink" Target="https://login.consultant.ru/link/?req=doc&amp;base=LAW&amp;n=541082&amp;date=15.09.2026&amp;dst=101413&amp;field=134" TargetMode = "External"/><Relationship Id="rId38" Type="http://schemas.openxmlformats.org/officeDocument/2006/relationships/hyperlink" Target="https://login.consultant.ru/link/?req=doc&amp;base=LAW&amp;n=541082&amp;date=15.09.2026&amp;dst=101176&amp;field=134" TargetMode = "External"/><Relationship Id="rId39" Type="http://schemas.openxmlformats.org/officeDocument/2006/relationships/hyperlink" Target="https://login.consultant.ru/link/?req=doc&amp;base=LAW&amp;n=541082&amp;date=15.09.2026&amp;dst=100813&amp;field=134" TargetMode = "External"/><Relationship Id="rId40" Type="http://schemas.openxmlformats.org/officeDocument/2006/relationships/hyperlink" Target="https://login.consultant.ru/link/?req=doc&amp;base=LAW&amp;n=541082&amp;date=15.09.2026&amp;dst=100851&amp;field=134" TargetMode = "External"/><Relationship Id="rId41" Type="http://schemas.openxmlformats.org/officeDocument/2006/relationships/hyperlink" Target="https://login.consultant.ru/link/?req=doc&amp;base=LAW&amp;n=541082&amp;date=15.09.2026&amp;dst=100864&amp;field=134" TargetMode = "External"/><Relationship Id="rId42" Type="http://schemas.openxmlformats.org/officeDocument/2006/relationships/hyperlink" Target="https://login.consultant.ru/link/?req=doc&amp;base=LAW&amp;n=541082&amp;date=15.09.2026&amp;dst=60&amp;field=134" TargetMode = "External"/><Relationship Id="rId43" Type="http://schemas.openxmlformats.org/officeDocument/2006/relationships/hyperlink" Target="https://login.consultant.ru/link/?req=doc&amp;base=LAW&amp;n=541082&amp;date=15.09.2026&amp;dst=100888&amp;field=134" TargetMode = "External"/><Relationship Id="rId44" Type="http://schemas.openxmlformats.org/officeDocument/2006/relationships/hyperlink" Target="https://login.consultant.ru/link/?req=doc&amp;base=LAW&amp;n=541082&amp;date=15.09.2026&amp;dst=101242&amp;field=134" TargetMode = "External"/><Relationship Id="rId45" Type="http://schemas.openxmlformats.org/officeDocument/2006/relationships/hyperlink" Target="https://login.consultant.ru/link/?req=doc&amp;base=LAW&amp;n=373081&amp;date=15.09.2026" TargetMode = "External"/><Relationship Id="rId46" Type="http://schemas.openxmlformats.org/officeDocument/2006/relationships/hyperlink" Target="https://login.consultant.ru/link/?req=doc&amp;base=LAW&amp;n=541082&amp;date=15.09.2026&amp;dst=101128&amp;field=134" TargetMode = "External"/><Relationship Id="rId47" Type="http://schemas.openxmlformats.org/officeDocument/2006/relationships/hyperlink" Target="https://login.consultant.ru/link/?req=doc&amp;base=LAW&amp;n=541082&amp;date=15.09.2026&amp;dst=100981&amp;field=134" TargetMode = "External"/><Relationship Id="rId48" Type="http://schemas.openxmlformats.org/officeDocument/2006/relationships/hyperlink" Target="https://login.consultant.ru/link/?req=doc&amp;base=LAW&amp;n=541082&amp;date=15.09.2026&amp;dst=100998&amp;field=134" TargetMode = "External"/><Relationship Id="rId49" Type="http://schemas.openxmlformats.org/officeDocument/2006/relationships/hyperlink" Target="https://login.consultant.ru/link/?req=doc&amp;base=LAW&amp;n=541082&amp;date=15.09.2026&amp;dst=101482&amp;field=134" TargetMode = "External"/><Relationship Id="rId50" Type="http://schemas.openxmlformats.org/officeDocument/2006/relationships/hyperlink" Target="https://login.consultant.ru/link/?req=doc&amp;base=LAW&amp;n=541082&amp;date=15.09.2026&amp;dst=100422&amp;field=134" TargetMode = "External"/><Relationship Id="rId51" Type="http://schemas.openxmlformats.org/officeDocument/2006/relationships/hyperlink" Target="https://login.consultant.ru/link/?req=doc&amp;base=LAW&amp;n=541082&amp;date=15.09.2026&amp;dst=101143&amp;field=134" TargetMode = "External"/><Relationship Id="rId52" Type="http://schemas.openxmlformats.org/officeDocument/2006/relationships/hyperlink" Target="https://login.consultant.ru/link/?req=doc&amp;base=LAW&amp;n=209468&amp;date=15.09.2026&amp;dst=100446&amp;field=134" TargetMode = "External"/><Relationship Id="rId53" Type="http://schemas.openxmlformats.org/officeDocument/2006/relationships/hyperlink" Target="https://login.consultant.ru/link/?req=doc&amp;base=LAW&amp;n=209468&amp;date=15.09.2026&amp;dst=100015&amp;field=134" TargetMode = "External"/><Relationship Id="rId54" Type="http://schemas.openxmlformats.org/officeDocument/2006/relationships/hyperlink" Target="https://login.consultant.ru/link/?req=doc&amp;base=LAW&amp;n=397868&amp;date=15.09.2026" TargetMode = "External"/><Relationship Id="rId55" Type="http://schemas.openxmlformats.org/officeDocument/2006/relationships/hyperlink" Target="https://login.consultant.ru/link/?req=doc&amp;base=LAW&amp;n=541082&amp;date=15.09.2026&amp;dst=100900&amp;field=134" TargetMode = "External"/><Relationship Id="rId56" Type="http://schemas.openxmlformats.org/officeDocument/2006/relationships/hyperlink" Target="https://login.consultant.ru/link/?req=doc&amp;base=LAW&amp;n=541082&amp;date=15.09.2026&amp;dst=100910&amp;field=134" TargetMode = "External"/><Relationship Id="rId57" Type="http://schemas.openxmlformats.org/officeDocument/2006/relationships/hyperlink" Target="https://login.consultant.ru/link/?req=doc&amp;base=LAW&amp;n=541082&amp;date=15.09.2026&amp;dst=100913&amp;field=134" TargetMode = "External"/><Relationship Id="rId58" Type="http://schemas.openxmlformats.org/officeDocument/2006/relationships/hyperlink" Target="https://login.consultant.ru/link/?req=doc&amp;base=LAW&amp;n=541082&amp;date=15.09.2026&amp;dst=10093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Брянской области от 31.07.2023 N 349-п
(ред. от 24.08.2026)
"Об утверждении Положения о региональном государственном контроле (надзоре) в области технического состояния и эксплуатации аттракционов"</dc:title>
  <dcterms:created xsi:type="dcterms:W3CDTF">2026-09-15T07:37:24Z</dcterms:created>
</cp:coreProperties>
</file>